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CB3" w:rsidRPr="00B069E1" w:rsidRDefault="00E77CB3" w:rsidP="00B069E1">
      <w:pPr>
        <w:jc w:val="center"/>
        <w:rPr>
          <w:lang w:val="pt-BR"/>
        </w:rPr>
      </w:pPr>
      <w:bookmarkStart w:id="0" w:name="_GoBack"/>
      <w:bookmarkEnd w:id="0"/>
    </w:p>
    <w:p w:rsidR="00345063" w:rsidRPr="00B069E1" w:rsidRDefault="00345063" w:rsidP="00B069E1">
      <w:pPr>
        <w:jc w:val="center"/>
        <w:rPr>
          <w:lang w:val="pt-BR"/>
        </w:rPr>
      </w:pPr>
    </w:p>
    <w:p w:rsidR="00345063" w:rsidRPr="00B069E1" w:rsidRDefault="00345063" w:rsidP="00B069E1">
      <w:pPr>
        <w:jc w:val="center"/>
        <w:rPr>
          <w:lang w:val="pt-BR"/>
        </w:rPr>
      </w:pPr>
    </w:p>
    <w:p w:rsidR="00E77CB3" w:rsidRPr="00B069E1" w:rsidRDefault="00C44054" w:rsidP="00B069E1">
      <w:pPr>
        <w:jc w:val="center"/>
        <w:rPr>
          <w:lang w:val="fr-FR"/>
        </w:rPr>
      </w:pPr>
      <w:r w:rsidRPr="00B069E1">
        <w:rPr>
          <w:lang w:val="fr-FR"/>
        </w:rPr>
        <w:t>PREMIÈRE SECTION</w:t>
      </w:r>
    </w:p>
    <w:p w:rsidR="00E77CB3" w:rsidRPr="00B069E1" w:rsidRDefault="00E77CB3" w:rsidP="00B069E1">
      <w:pPr>
        <w:jc w:val="center"/>
        <w:rPr>
          <w:lang w:val="fr-FR"/>
        </w:rPr>
      </w:pPr>
    </w:p>
    <w:p w:rsidR="00345063" w:rsidRPr="00B069E1" w:rsidRDefault="00345063" w:rsidP="00B069E1">
      <w:pPr>
        <w:jc w:val="center"/>
        <w:rPr>
          <w:lang w:val="fr-FR"/>
        </w:rPr>
      </w:pPr>
    </w:p>
    <w:p w:rsidR="00345063" w:rsidRPr="00B069E1" w:rsidRDefault="00345063" w:rsidP="00B069E1">
      <w:pPr>
        <w:jc w:val="center"/>
        <w:rPr>
          <w:lang w:val="fr-FR"/>
        </w:rPr>
      </w:pPr>
    </w:p>
    <w:p w:rsidR="00345063" w:rsidRPr="00B069E1" w:rsidRDefault="00345063" w:rsidP="00B069E1">
      <w:pPr>
        <w:jc w:val="center"/>
        <w:rPr>
          <w:lang w:val="fr-FR"/>
        </w:rPr>
      </w:pPr>
    </w:p>
    <w:p w:rsidR="00345063" w:rsidRPr="00B069E1" w:rsidRDefault="00345063" w:rsidP="00B069E1">
      <w:pPr>
        <w:jc w:val="center"/>
        <w:rPr>
          <w:lang w:val="fr-FR"/>
        </w:rPr>
      </w:pPr>
    </w:p>
    <w:p w:rsidR="00345063" w:rsidRPr="00B069E1" w:rsidRDefault="00345063" w:rsidP="00B069E1">
      <w:pPr>
        <w:jc w:val="center"/>
        <w:rPr>
          <w:lang w:val="fr-FR"/>
        </w:rPr>
      </w:pPr>
    </w:p>
    <w:p w:rsidR="00580586" w:rsidRPr="00B069E1" w:rsidRDefault="00580586" w:rsidP="00B069E1">
      <w:pPr>
        <w:jc w:val="center"/>
        <w:rPr>
          <w:lang w:val="fr-FR"/>
        </w:rPr>
      </w:pPr>
    </w:p>
    <w:p w:rsidR="00E77CB3" w:rsidRPr="00B069E1" w:rsidRDefault="00E77CB3" w:rsidP="00B069E1">
      <w:pPr>
        <w:jc w:val="center"/>
        <w:rPr>
          <w:b/>
          <w:lang w:val="fr-FR"/>
        </w:rPr>
      </w:pPr>
      <w:bookmarkStart w:id="1" w:name="To"/>
      <w:r w:rsidRPr="00B069E1">
        <w:rPr>
          <w:b/>
          <w:lang w:val="fr-FR"/>
        </w:rPr>
        <w:t xml:space="preserve">AFFAIRE </w:t>
      </w:r>
      <w:bookmarkEnd w:id="1"/>
      <w:r w:rsidR="00C44054" w:rsidRPr="00B069E1">
        <w:rPr>
          <w:b/>
          <w:lang w:val="fr-FR"/>
        </w:rPr>
        <w:t>FASAN ET AUTRES c. ITALIE</w:t>
      </w:r>
    </w:p>
    <w:p w:rsidR="00E77CB3" w:rsidRPr="00B069E1" w:rsidRDefault="00E77CB3" w:rsidP="00B069E1">
      <w:pPr>
        <w:jc w:val="center"/>
        <w:rPr>
          <w:lang w:val="fr-FR"/>
        </w:rPr>
      </w:pPr>
    </w:p>
    <w:p w:rsidR="00345063" w:rsidRPr="00B069E1" w:rsidRDefault="00E77CB3" w:rsidP="00B069E1">
      <w:pPr>
        <w:jc w:val="center"/>
        <w:rPr>
          <w:szCs w:val="24"/>
          <w:lang w:val="fr-FR"/>
        </w:rPr>
      </w:pPr>
      <w:r w:rsidRPr="00B069E1">
        <w:rPr>
          <w:i/>
          <w:lang w:val="fr-FR"/>
        </w:rPr>
        <w:t>(</w:t>
      </w:r>
      <w:r w:rsidR="00C44054" w:rsidRPr="00B069E1">
        <w:rPr>
          <w:i/>
          <w:lang w:val="fr-FR"/>
        </w:rPr>
        <w:t>Requête n</w:t>
      </w:r>
      <w:r w:rsidR="00C44054" w:rsidRPr="00B069E1">
        <w:rPr>
          <w:i/>
          <w:vertAlign w:val="superscript"/>
          <w:lang w:val="fr-FR"/>
        </w:rPr>
        <w:t>o</w:t>
      </w:r>
      <w:r w:rsidR="00C44054" w:rsidRPr="00B069E1">
        <w:rPr>
          <w:i/>
          <w:lang w:val="fr-FR"/>
        </w:rPr>
        <w:t xml:space="preserve"> 36974/11</w:t>
      </w:r>
      <w:r w:rsidRPr="00B069E1">
        <w:rPr>
          <w:i/>
          <w:lang w:val="fr-FR"/>
        </w:rPr>
        <w:t>)</w:t>
      </w:r>
    </w:p>
    <w:p w:rsidR="00345063" w:rsidRPr="00B069E1" w:rsidRDefault="00345063" w:rsidP="00B069E1">
      <w:pPr>
        <w:jc w:val="center"/>
        <w:rPr>
          <w:szCs w:val="24"/>
          <w:lang w:val="fr-FR"/>
        </w:rPr>
      </w:pPr>
    </w:p>
    <w:p w:rsidR="00345063" w:rsidRPr="00B069E1" w:rsidRDefault="00345063" w:rsidP="00B069E1">
      <w:pPr>
        <w:jc w:val="center"/>
        <w:rPr>
          <w:szCs w:val="24"/>
          <w:lang w:val="fr-FR"/>
        </w:rPr>
      </w:pPr>
    </w:p>
    <w:p w:rsidR="00345063" w:rsidRPr="00B069E1" w:rsidRDefault="00345063" w:rsidP="00B069E1">
      <w:pPr>
        <w:jc w:val="center"/>
        <w:rPr>
          <w:szCs w:val="24"/>
          <w:lang w:val="fr-FR"/>
        </w:rPr>
      </w:pPr>
    </w:p>
    <w:p w:rsidR="00345063" w:rsidRPr="00B069E1" w:rsidRDefault="00345063" w:rsidP="00B069E1">
      <w:pPr>
        <w:jc w:val="center"/>
        <w:rPr>
          <w:szCs w:val="24"/>
          <w:lang w:val="fr-FR"/>
        </w:rPr>
      </w:pPr>
    </w:p>
    <w:p w:rsidR="00B069E1" w:rsidRPr="00B069E1" w:rsidRDefault="00B069E1" w:rsidP="00B069E1">
      <w:pPr>
        <w:jc w:val="center"/>
        <w:rPr>
          <w:szCs w:val="24"/>
          <w:lang w:val="fr-FR"/>
        </w:rPr>
      </w:pPr>
    </w:p>
    <w:p w:rsidR="00B069E1" w:rsidRPr="00B069E1" w:rsidRDefault="00B069E1" w:rsidP="00B069E1">
      <w:pPr>
        <w:jc w:val="center"/>
        <w:rPr>
          <w:szCs w:val="24"/>
          <w:lang w:val="fr-FR"/>
        </w:rPr>
      </w:pPr>
    </w:p>
    <w:p w:rsidR="00345063" w:rsidRPr="00B069E1" w:rsidRDefault="00345063" w:rsidP="00B069E1">
      <w:pPr>
        <w:jc w:val="center"/>
        <w:rPr>
          <w:szCs w:val="24"/>
          <w:lang w:val="fr-FR"/>
        </w:rPr>
      </w:pPr>
    </w:p>
    <w:p w:rsidR="00B069E1" w:rsidRPr="00B069E1" w:rsidRDefault="00B069E1" w:rsidP="00B069E1">
      <w:pPr>
        <w:jc w:val="center"/>
        <w:rPr>
          <w:szCs w:val="24"/>
          <w:lang w:val="fr-FR"/>
        </w:rPr>
      </w:pPr>
    </w:p>
    <w:p w:rsidR="00345063" w:rsidRPr="00B069E1" w:rsidRDefault="00345063" w:rsidP="00B069E1">
      <w:pPr>
        <w:jc w:val="center"/>
        <w:rPr>
          <w:szCs w:val="24"/>
          <w:lang w:val="fr-FR"/>
        </w:rPr>
      </w:pPr>
    </w:p>
    <w:p w:rsidR="00345063" w:rsidRPr="00B069E1" w:rsidRDefault="00345063" w:rsidP="00B069E1">
      <w:pPr>
        <w:jc w:val="center"/>
        <w:rPr>
          <w:szCs w:val="24"/>
          <w:lang w:val="fr-FR"/>
        </w:rPr>
      </w:pPr>
    </w:p>
    <w:p w:rsidR="00345063" w:rsidRPr="00B069E1" w:rsidRDefault="00345063" w:rsidP="00B069E1">
      <w:pPr>
        <w:jc w:val="center"/>
        <w:rPr>
          <w:szCs w:val="24"/>
          <w:lang w:val="fr-FR"/>
        </w:rPr>
      </w:pPr>
    </w:p>
    <w:p w:rsidR="00345063" w:rsidRPr="00B069E1" w:rsidRDefault="00345063" w:rsidP="00B069E1">
      <w:pPr>
        <w:jc w:val="center"/>
        <w:rPr>
          <w:szCs w:val="24"/>
          <w:lang w:val="fr-FR"/>
        </w:rPr>
      </w:pPr>
      <w:r w:rsidRPr="00B069E1">
        <w:rPr>
          <w:szCs w:val="24"/>
          <w:lang w:val="fr-FR"/>
        </w:rPr>
        <w:t>ARRÊT</w:t>
      </w:r>
    </w:p>
    <w:p w:rsidR="00345063" w:rsidRPr="00B069E1" w:rsidRDefault="00345063" w:rsidP="00B069E1">
      <w:pPr>
        <w:jc w:val="center"/>
        <w:rPr>
          <w:szCs w:val="24"/>
          <w:lang w:val="fr-FR"/>
        </w:rPr>
      </w:pPr>
    </w:p>
    <w:p w:rsidR="00345063" w:rsidRPr="00B069E1" w:rsidRDefault="00345063" w:rsidP="00B069E1">
      <w:pPr>
        <w:jc w:val="center"/>
        <w:rPr>
          <w:szCs w:val="24"/>
          <w:lang w:val="fr-FR"/>
        </w:rPr>
      </w:pPr>
    </w:p>
    <w:p w:rsidR="00345063" w:rsidRPr="00B069E1" w:rsidRDefault="00345063" w:rsidP="00B069E1">
      <w:pPr>
        <w:jc w:val="center"/>
        <w:rPr>
          <w:szCs w:val="24"/>
          <w:lang w:val="fr-FR"/>
        </w:rPr>
      </w:pPr>
      <w:r w:rsidRPr="00B069E1">
        <w:rPr>
          <w:szCs w:val="24"/>
          <w:lang w:val="fr-FR"/>
        </w:rPr>
        <w:t>STRASBOURG</w:t>
      </w:r>
    </w:p>
    <w:p w:rsidR="00345063" w:rsidRPr="00B069E1" w:rsidRDefault="00345063" w:rsidP="00B069E1">
      <w:pPr>
        <w:jc w:val="center"/>
        <w:rPr>
          <w:szCs w:val="24"/>
          <w:lang w:val="fr-FR"/>
        </w:rPr>
      </w:pPr>
    </w:p>
    <w:p w:rsidR="00345063" w:rsidRPr="00B069E1" w:rsidRDefault="00345063" w:rsidP="00B069E1">
      <w:pPr>
        <w:jc w:val="center"/>
        <w:rPr>
          <w:szCs w:val="24"/>
          <w:lang w:val="fr-FR"/>
        </w:rPr>
      </w:pPr>
      <w:r w:rsidRPr="00B069E1">
        <w:rPr>
          <w:szCs w:val="24"/>
          <w:lang w:val="fr-FR"/>
        </w:rPr>
        <w:t>13 avril 2017</w:t>
      </w:r>
    </w:p>
    <w:p w:rsidR="00345063" w:rsidRPr="00B069E1" w:rsidRDefault="00345063" w:rsidP="00B069E1">
      <w:pPr>
        <w:jc w:val="center"/>
        <w:rPr>
          <w:szCs w:val="24"/>
          <w:lang w:val="fr-FR"/>
        </w:rPr>
      </w:pPr>
    </w:p>
    <w:p w:rsidR="00580586" w:rsidRPr="00B069E1" w:rsidRDefault="00580586" w:rsidP="00B069E1">
      <w:pPr>
        <w:jc w:val="center"/>
        <w:rPr>
          <w:szCs w:val="24"/>
          <w:lang w:val="fr-FR"/>
        </w:rPr>
      </w:pPr>
    </w:p>
    <w:p w:rsidR="00345063" w:rsidRPr="00B069E1" w:rsidRDefault="00345063" w:rsidP="00B069E1">
      <w:pPr>
        <w:jc w:val="center"/>
        <w:rPr>
          <w:szCs w:val="24"/>
          <w:lang w:val="fr-FR"/>
        </w:rPr>
      </w:pPr>
    </w:p>
    <w:p w:rsidR="00580586" w:rsidRPr="00B069E1" w:rsidRDefault="00580586" w:rsidP="00B069E1">
      <w:pPr>
        <w:jc w:val="center"/>
        <w:rPr>
          <w:szCs w:val="24"/>
          <w:lang w:val="fr-FR"/>
        </w:rPr>
      </w:pPr>
    </w:p>
    <w:p w:rsidR="00580586" w:rsidRPr="00B069E1" w:rsidRDefault="00580586" w:rsidP="00B069E1">
      <w:pPr>
        <w:jc w:val="center"/>
        <w:rPr>
          <w:szCs w:val="24"/>
          <w:lang w:val="fr-FR"/>
        </w:rPr>
      </w:pPr>
    </w:p>
    <w:p w:rsidR="00B069E1" w:rsidRPr="00B069E1" w:rsidRDefault="00345063" w:rsidP="00B069E1">
      <w:pPr>
        <w:rPr>
          <w:lang w:val="fr-FR"/>
        </w:rPr>
      </w:pPr>
      <w:r w:rsidRPr="00B069E1">
        <w:rPr>
          <w:i/>
          <w:sz w:val="22"/>
          <w:szCs w:val="24"/>
          <w:lang w:val="fr-FR"/>
        </w:rPr>
        <w:t>Cet arrêt deviendra définitif dans les conditions définies à l</w:t>
      </w:r>
      <w:r w:rsidR="00B069E1" w:rsidRPr="00B069E1">
        <w:rPr>
          <w:i/>
          <w:sz w:val="22"/>
          <w:szCs w:val="24"/>
          <w:lang w:val="fr-FR"/>
        </w:rPr>
        <w:t>’</w:t>
      </w:r>
      <w:r w:rsidRPr="00B069E1">
        <w:rPr>
          <w:i/>
          <w:sz w:val="22"/>
          <w:szCs w:val="24"/>
          <w:lang w:val="fr-FR"/>
        </w:rPr>
        <w:t>article 44 § 2 de la Convention. Il peut subir des retouches de forme.</w:t>
      </w:r>
    </w:p>
    <w:p w:rsidR="00345063" w:rsidRPr="00B069E1" w:rsidRDefault="00345063" w:rsidP="00B069E1">
      <w:pPr>
        <w:pStyle w:val="ECHRPara"/>
        <w:rPr>
          <w:lang w:val="fr-FR"/>
        </w:rPr>
        <w:sectPr w:rsidR="00345063" w:rsidRPr="00B069E1" w:rsidSect="00345063">
          <w:headerReference w:type="default" r:id="rId11"/>
          <w:headerReference w:type="first" r:id="rId12"/>
          <w:footerReference w:type="first" r:id="rId13"/>
          <w:footnotePr>
            <w:numRestart w:val="eachSect"/>
          </w:footnotePr>
          <w:pgSz w:w="11906" w:h="16838" w:code="9"/>
          <w:pgMar w:top="2268" w:right="2274" w:bottom="2274" w:left="2274" w:header="1701" w:footer="720" w:gutter="0"/>
          <w:pgNumType w:start="1"/>
          <w:cols w:space="720"/>
          <w:titlePg/>
          <w:docGrid w:linePitch="326"/>
        </w:sectPr>
      </w:pPr>
    </w:p>
    <w:p w:rsidR="00E77CB3" w:rsidRPr="00B069E1" w:rsidRDefault="00E77CB3" w:rsidP="00B069E1">
      <w:pPr>
        <w:pStyle w:val="JuCase"/>
        <w:rPr>
          <w:lang w:val="fr-FR"/>
        </w:rPr>
      </w:pPr>
      <w:r w:rsidRPr="00B069E1">
        <w:rPr>
          <w:lang w:val="fr-FR"/>
        </w:rPr>
        <w:lastRenderedPageBreak/>
        <w:t>En l</w:t>
      </w:r>
      <w:r w:rsidR="00B069E1" w:rsidRPr="00B069E1">
        <w:rPr>
          <w:lang w:val="fr-FR"/>
        </w:rPr>
        <w:t>’</w:t>
      </w:r>
      <w:r w:rsidRPr="00B069E1">
        <w:rPr>
          <w:lang w:val="fr-FR"/>
        </w:rPr>
        <w:t xml:space="preserve">affaire </w:t>
      </w:r>
      <w:r w:rsidR="00C44054" w:rsidRPr="00B069E1">
        <w:rPr>
          <w:lang w:val="fr-FR"/>
        </w:rPr>
        <w:t>Fasan et autres c. Italie</w:t>
      </w:r>
      <w:r w:rsidRPr="00B069E1">
        <w:rPr>
          <w:lang w:val="fr-FR"/>
        </w:rPr>
        <w:t>,</w:t>
      </w:r>
    </w:p>
    <w:p w:rsidR="00E77CB3" w:rsidRPr="00B069E1" w:rsidRDefault="00E77CB3" w:rsidP="00B069E1">
      <w:pPr>
        <w:pStyle w:val="ECHRPara"/>
        <w:rPr>
          <w:lang w:val="fr-FR"/>
        </w:rPr>
      </w:pPr>
      <w:r w:rsidRPr="00B069E1">
        <w:rPr>
          <w:lang w:val="fr-FR"/>
        </w:rPr>
        <w:t>La Cour européenne des droits de l</w:t>
      </w:r>
      <w:r w:rsidR="00B069E1" w:rsidRPr="00B069E1">
        <w:rPr>
          <w:lang w:val="fr-FR"/>
        </w:rPr>
        <w:t>’</w:t>
      </w:r>
      <w:r w:rsidRPr="00B069E1">
        <w:rPr>
          <w:lang w:val="fr-FR"/>
        </w:rPr>
        <w:t>homme (</w:t>
      </w:r>
      <w:r w:rsidR="00C44054" w:rsidRPr="00B069E1">
        <w:rPr>
          <w:lang w:val="fr-FR"/>
        </w:rPr>
        <w:t>première section</w:t>
      </w:r>
      <w:r w:rsidRPr="00B069E1">
        <w:rPr>
          <w:lang w:val="fr-FR"/>
        </w:rPr>
        <w:t xml:space="preserve">), siégeant en </w:t>
      </w:r>
      <w:r w:rsidR="00C44054" w:rsidRPr="00B069E1">
        <w:rPr>
          <w:lang w:val="fr-FR"/>
        </w:rPr>
        <w:t>une chambre composée</w:t>
      </w:r>
      <w:r w:rsidRPr="00B069E1">
        <w:rPr>
          <w:lang w:val="fr-FR"/>
        </w:rPr>
        <w:t xml:space="preserve"> de :</w:t>
      </w:r>
    </w:p>
    <w:p w:rsidR="00E77CB3" w:rsidRPr="00B069E1" w:rsidRDefault="00345063" w:rsidP="00B069E1">
      <w:pPr>
        <w:pStyle w:val="ECHRDecisionBody"/>
        <w:rPr>
          <w:lang w:val="fr-FR"/>
        </w:rPr>
      </w:pPr>
      <w:r w:rsidRPr="00B069E1">
        <w:rPr>
          <w:lang w:val="fr-FR"/>
        </w:rPr>
        <w:tab/>
        <w:t>Linos-Alexandre Sicilianos,</w:t>
      </w:r>
      <w:r w:rsidRPr="00B069E1">
        <w:rPr>
          <w:i/>
          <w:lang w:val="fr-FR"/>
        </w:rPr>
        <w:t xml:space="preserve"> président,</w:t>
      </w:r>
      <w:r w:rsidRPr="00B069E1">
        <w:rPr>
          <w:i/>
          <w:lang w:val="fr-FR"/>
        </w:rPr>
        <w:br/>
      </w:r>
      <w:r w:rsidRPr="00B069E1">
        <w:rPr>
          <w:lang w:val="fr-FR"/>
        </w:rPr>
        <w:tab/>
        <w:t>Guido Raimondi,</w:t>
      </w:r>
      <w:r w:rsidRPr="00B069E1">
        <w:rPr>
          <w:i/>
          <w:lang w:val="fr-FR"/>
        </w:rPr>
        <w:br/>
      </w:r>
      <w:r w:rsidRPr="00B069E1">
        <w:rPr>
          <w:lang w:val="fr-FR"/>
        </w:rPr>
        <w:tab/>
        <w:t>Ledi Bianku,</w:t>
      </w:r>
      <w:r w:rsidRPr="00B069E1">
        <w:rPr>
          <w:i/>
          <w:lang w:val="fr-FR"/>
        </w:rPr>
        <w:br/>
      </w:r>
      <w:r w:rsidRPr="00B069E1">
        <w:rPr>
          <w:lang w:val="fr-FR"/>
        </w:rPr>
        <w:tab/>
        <w:t>Aleš Pejchal,</w:t>
      </w:r>
      <w:r w:rsidRPr="00B069E1">
        <w:rPr>
          <w:i/>
          <w:lang w:val="fr-FR"/>
        </w:rPr>
        <w:br/>
      </w:r>
      <w:r w:rsidRPr="00B069E1">
        <w:rPr>
          <w:lang w:val="fr-FR"/>
        </w:rPr>
        <w:tab/>
        <w:t>Robert Spano,</w:t>
      </w:r>
      <w:r w:rsidRPr="00B069E1">
        <w:rPr>
          <w:i/>
          <w:lang w:val="fr-FR"/>
        </w:rPr>
        <w:br/>
      </w:r>
      <w:r w:rsidRPr="00B069E1">
        <w:rPr>
          <w:lang w:val="fr-FR"/>
        </w:rPr>
        <w:tab/>
        <w:t>Pauliine Koskelo,</w:t>
      </w:r>
      <w:r w:rsidRPr="00B069E1">
        <w:rPr>
          <w:i/>
          <w:lang w:val="fr-FR"/>
        </w:rPr>
        <w:br/>
      </w:r>
      <w:r w:rsidRPr="00B069E1">
        <w:rPr>
          <w:lang w:val="fr-FR"/>
        </w:rPr>
        <w:tab/>
        <w:t>Jovan Ilievski,</w:t>
      </w:r>
      <w:r w:rsidRPr="00B069E1">
        <w:rPr>
          <w:i/>
          <w:lang w:val="fr-FR"/>
        </w:rPr>
        <w:t xml:space="preserve"> juges,</w:t>
      </w:r>
      <w:r w:rsidR="00E77CB3" w:rsidRPr="00B069E1">
        <w:rPr>
          <w:lang w:val="fr-FR"/>
        </w:rPr>
        <w:br/>
        <w:t xml:space="preserve">et de </w:t>
      </w:r>
      <w:r w:rsidR="00C44054" w:rsidRPr="00B069E1">
        <w:rPr>
          <w:lang w:val="fr-FR"/>
        </w:rPr>
        <w:t>Abel Campos</w:t>
      </w:r>
      <w:r w:rsidR="00E77CB3" w:rsidRPr="00B069E1">
        <w:rPr>
          <w:lang w:val="fr-FR"/>
        </w:rPr>
        <w:t xml:space="preserve">, </w:t>
      </w:r>
      <w:r w:rsidR="00C44054" w:rsidRPr="00B069E1">
        <w:rPr>
          <w:i/>
          <w:lang w:val="fr-FR"/>
        </w:rPr>
        <w:t>greffier</w:t>
      </w:r>
      <w:r w:rsidR="00C44054" w:rsidRPr="00B069E1">
        <w:rPr>
          <w:iCs/>
          <w:lang w:val="fr-FR"/>
        </w:rPr>
        <w:t xml:space="preserve"> </w:t>
      </w:r>
      <w:r w:rsidR="00C44054" w:rsidRPr="00B069E1">
        <w:rPr>
          <w:i/>
          <w:iCs/>
          <w:lang w:val="fr-FR"/>
        </w:rPr>
        <w:t>d</w:t>
      </w:r>
      <w:r w:rsidR="00C44054" w:rsidRPr="00B069E1">
        <w:rPr>
          <w:i/>
          <w:lang w:val="fr-FR"/>
        </w:rPr>
        <w:t>e section</w:t>
      </w:r>
      <w:r w:rsidR="00E77CB3" w:rsidRPr="00B069E1">
        <w:rPr>
          <w:lang w:val="fr-FR"/>
        </w:rPr>
        <w:t>,</w:t>
      </w:r>
    </w:p>
    <w:p w:rsidR="00E77CB3" w:rsidRPr="00B069E1" w:rsidRDefault="00E77CB3" w:rsidP="00B069E1">
      <w:pPr>
        <w:pStyle w:val="ECHRPara"/>
        <w:rPr>
          <w:lang w:val="fr-FR"/>
        </w:rPr>
      </w:pPr>
      <w:r w:rsidRPr="00B069E1">
        <w:rPr>
          <w:lang w:val="fr-FR"/>
        </w:rPr>
        <w:t xml:space="preserve">Après en avoir délibéré en chambre du conseil le </w:t>
      </w:r>
      <w:r w:rsidR="00345063" w:rsidRPr="00B069E1">
        <w:rPr>
          <w:lang w:val="fr-FR"/>
        </w:rPr>
        <w:t>21 mars 2017</w:t>
      </w:r>
      <w:r w:rsidRPr="00B069E1">
        <w:rPr>
          <w:lang w:val="fr-FR"/>
        </w:rPr>
        <w:t>,</w:t>
      </w:r>
    </w:p>
    <w:p w:rsidR="00E77CB3" w:rsidRPr="00B069E1" w:rsidRDefault="00E77CB3" w:rsidP="00B069E1">
      <w:pPr>
        <w:pStyle w:val="ECHRPara"/>
        <w:rPr>
          <w:lang w:val="fr-FR"/>
        </w:rPr>
      </w:pPr>
      <w:r w:rsidRPr="00B069E1">
        <w:rPr>
          <w:lang w:val="fr-FR"/>
        </w:rPr>
        <w:t>Rend l</w:t>
      </w:r>
      <w:r w:rsidR="00B069E1" w:rsidRPr="00B069E1">
        <w:rPr>
          <w:lang w:val="fr-FR"/>
        </w:rPr>
        <w:t>’</w:t>
      </w:r>
      <w:r w:rsidRPr="00B069E1">
        <w:rPr>
          <w:lang w:val="fr-FR"/>
        </w:rPr>
        <w:t>arrêt que voici, adopté à cette date :</w:t>
      </w:r>
    </w:p>
    <w:p w:rsidR="00E77CB3" w:rsidRPr="00B069E1" w:rsidRDefault="00E77CB3" w:rsidP="00B069E1">
      <w:pPr>
        <w:pStyle w:val="ECHRTitle1"/>
        <w:rPr>
          <w:lang w:val="fr-FR"/>
        </w:rPr>
      </w:pPr>
      <w:r w:rsidRPr="00B069E1">
        <w:rPr>
          <w:lang w:val="fr-FR"/>
        </w:rPr>
        <w:t>PROCÉDURE</w:t>
      </w:r>
    </w:p>
    <w:p w:rsidR="00E77CB3" w:rsidRPr="00B069E1" w:rsidRDefault="00C44054" w:rsidP="00B069E1">
      <w:pPr>
        <w:pStyle w:val="ECHRPara"/>
        <w:rPr>
          <w:lang w:val="fr-FR"/>
        </w:rPr>
      </w:pPr>
      <w:r w:rsidRPr="00B069E1">
        <w:rPr>
          <w:lang w:val="fr-FR"/>
        </w:rPr>
        <w:fldChar w:fldCharType="begin"/>
      </w:r>
      <w:r w:rsidRPr="00B069E1">
        <w:rPr>
          <w:lang w:val="fr-FR"/>
        </w:rPr>
        <w:instrText xml:space="preserve"> SEQ level0 \*arabic </w:instrText>
      </w:r>
      <w:r w:rsidRPr="00B069E1">
        <w:rPr>
          <w:lang w:val="fr-FR"/>
        </w:rPr>
        <w:fldChar w:fldCharType="separate"/>
      </w:r>
      <w:r w:rsidR="00B069E1" w:rsidRPr="00B069E1">
        <w:rPr>
          <w:noProof/>
          <w:lang w:val="fr-FR"/>
        </w:rPr>
        <w:t>1</w:t>
      </w:r>
      <w:r w:rsidRPr="00B069E1">
        <w:rPr>
          <w:lang w:val="fr-FR"/>
        </w:rPr>
        <w:fldChar w:fldCharType="end"/>
      </w:r>
      <w:r w:rsidR="00E77CB3" w:rsidRPr="00B069E1">
        <w:rPr>
          <w:lang w:val="fr-FR"/>
        </w:rPr>
        <w:t>.  À l</w:t>
      </w:r>
      <w:r w:rsidR="00B069E1" w:rsidRPr="00B069E1">
        <w:rPr>
          <w:lang w:val="fr-FR"/>
        </w:rPr>
        <w:t>’</w:t>
      </w:r>
      <w:r w:rsidR="00E77CB3" w:rsidRPr="00B069E1">
        <w:rPr>
          <w:lang w:val="fr-FR"/>
        </w:rPr>
        <w:t>origine de l</w:t>
      </w:r>
      <w:r w:rsidR="00B069E1" w:rsidRPr="00B069E1">
        <w:rPr>
          <w:lang w:val="fr-FR"/>
        </w:rPr>
        <w:t>’</w:t>
      </w:r>
      <w:r w:rsidR="00E77CB3" w:rsidRPr="00B069E1">
        <w:rPr>
          <w:lang w:val="fr-FR"/>
        </w:rPr>
        <w:t xml:space="preserve">affaire </w:t>
      </w:r>
      <w:r w:rsidRPr="00B069E1">
        <w:rPr>
          <w:lang w:val="fr-FR"/>
        </w:rPr>
        <w:t>se trouve une requête (n</w:t>
      </w:r>
      <w:r w:rsidR="00C5435C" w:rsidRPr="00B069E1">
        <w:rPr>
          <w:vertAlign w:val="superscript"/>
          <w:lang w:val="fr-FR"/>
        </w:rPr>
        <w:t>o</w:t>
      </w:r>
      <w:r w:rsidRPr="00B069E1">
        <w:rPr>
          <w:lang w:val="fr-FR"/>
        </w:rPr>
        <w:t xml:space="preserve"> 36974/11) dirigée</w:t>
      </w:r>
      <w:r w:rsidR="00E77CB3" w:rsidRPr="00B069E1">
        <w:rPr>
          <w:lang w:val="fr-FR"/>
        </w:rPr>
        <w:t xml:space="preserve"> contre </w:t>
      </w:r>
      <w:r w:rsidRPr="00B069E1">
        <w:rPr>
          <w:lang w:val="fr-FR"/>
        </w:rPr>
        <w:t>la République italienne</w:t>
      </w:r>
      <w:r w:rsidR="00E77CB3" w:rsidRPr="00B069E1">
        <w:rPr>
          <w:lang w:val="fr-FR"/>
        </w:rPr>
        <w:t xml:space="preserve"> et dont </w:t>
      </w:r>
      <w:r w:rsidR="006E5277" w:rsidRPr="00B069E1">
        <w:rPr>
          <w:lang w:val="fr-FR"/>
        </w:rPr>
        <w:t>six ressortissants de cet État</w:t>
      </w:r>
      <w:r w:rsidRPr="00B069E1">
        <w:rPr>
          <w:lang w:val="fr-FR"/>
        </w:rPr>
        <w:t xml:space="preserve"> (« les requérants »</w:t>
      </w:r>
      <w:r w:rsidR="006E5277" w:rsidRPr="00B069E1">
        <w:rPr>
          <w:lang w:val="fr-FR"/>
        </w:rPr>
        <w:t xml:space="preserve">, voir </w:t>
      </w:r>
      <w:r w:rsidR="00FF0D61" w:rsidRPr="00B069E1">
        <w:rPr>
          <w:lang w:val="fr-FR"/>
        </w:rPr>
        <w:t xml:space="preserve">le </w:t>
      </w:r>
      <w:r w:rsidR="006E5277" w:rsidRPr="00B069E1">
        <w:rPr>
          <w:lang w:val="fr-FR"/>
        </w:rPr>
        <w:t>tableau en annexe</w:t>
      </w:r>
      <w:r w:rsidRPr="00B069E1">
        <w:rPr>
          <w:lang w:val="fr-FR"/>
        </w:rPr>
        <w:t>), ont saisi la Cour le 19 avril 2011</w:t>
      </w:r>
      <w:r w:rsidR="00E77CB3" w:rsidRPr="00B069E1">
        <w:rPr>
          <w:lang w:val="fr-FR"/>
        </w:rPr>
        <w:t xml:space="preserve"> en vertu de </w:t>
      </w:r>
      <w:r w:rsidRPr="00B069E1">
        <w:rPr>
          <w:lang w:val="fr-FR"/>
        </w:rPr>
        <w:t>l</w:t>
      </w:r>
      <w:r w:rsidR="00B069E1" w:rsidRPr="00B069E1">
        <w:rPr>
          <w:lang w:val="fr-FR"/>
        </w:rPr>
        <w:t>’</w:t>
      </w:r>
      <w:r w:rsidRPr="00B069E1">
        <w:rPr>
          <w:lang w:val="fr-FR"/>
        </w:rPr>
        <w:t>article 34</w:t>
      </w:r>
      <w:r w:rsidR="00E77CB3" w:rsidRPr="00B069E1">
        <w:rPr>
          <w:lang w:val="fr-FR"/>
        </w:rPr>
        <w:t xml:space="preserve"> de la Convention de sauvegarde des droits de l</w:t>
      </w:r>
      <w:r w:rsidR="00B069E1" w:rsidRPr="00B069E1">
        <w:rPr>
          <w:lang w:val="fr-FR"/>
        </w:rPr>
        <w:t>’</w:t>
      </w:r>
      <w:r w:rsidR="00E77CB3" w:rsidRPr="00B069E1">
        <w:rPr>
          <w:lang w:val="fr-FR"/>
        </w:rPr>
        <w:t>homme et des libertés fondamentales (« la Convention »).</w:t>
      </w:r>
    </w:p>
    <w:p w:rsidR="00C5435C" w:rsidRPr="00B069E1" w:rsidRDefault="0037148D" w:rsidP="00B069E1">
      <w:pPr>
        <w:pStyle w:val="ECHRPara"/>
        <w:rPr>
          <w:lang w:val="fr-FR"/>
        </w:rPr>
      </w:pPr>
      <w:r w:rsidRPr="00B069E1">
        <w:rPr>
          <w:lang w:val="fr-FR"/>
        </w:rPr>
        <w:fldChar w:fldCharType="begin"/>
      </w:r>
      <w:r w:rsidRPr="00B069E1">
        <w:rPr>
          <w:lang w:val="fr-FR"/>
        </w:rPr>
        <w:instrText xml:space="preserve"> SEQ level0 \*arabic </w:instrText>
      </w:r>
      <w:r w:rsidRPr="00B069E1">
        <w:rPr>
          <w:lang w:val="fr-FR"/>
        </w:rPr>
        <w:fldChar w:fldCharType="separate"/>
      </w:r>
      <w:r w:rsidR="00B069E1" w:rsidRPr="00B069E1">
        <w:rPr>
          <w:noProof/>
          <w:lang w:val="fr-FR"/>
        </w:rPr>
        <w:t>2</w:t>
      </w:r>
      <w:r w:rsidRPr="00B069E1">
        <w:rPr>
          <w:lang w:val="fr-FR"/>
        </w:rPr>
        <w:fldChar w:fldCharType="end"/>
      </w:r>
      <w:r w:rsidRPr="00B069E1">
        <w:rPr>
          <w:lang w:val="fr-FR"/>
        </w:rPr>
        <w:t>.  </w:t>
      </w:r>
      <w:r w:rsidR="00C44054" w:rsidRPr="00B069E1">
        <w:rPr>
          <w:lang w:val="fr-FR"/>
        </w:rPr>
        <w:t>Les requérants ont été représentés par M</w:t>
      </w:r>
      <w:r w:rsidR="00C44054" w:rsidRPr="00B069E1">
        <w:rPr>
          <w:vertAlign w:val="superscript"/>
          <w:lang w:val="fr-FR"/>
        </w:rPr>
        <w:t>es</w:t>
      </w:r>
      <w:r w:rsidR="00C44054" w:rsidRPr="00B069E1">
        <w:rPr>
          <w:lang w:val="fr-FR"/>
        </w:rPr>
        <w:t> </w:t>
      </w:r>
      <w:r w:rsidR="006C1D0C" w:rsidRPr="00B069E1">
        <w:rPr>
          <w:color w:val="000000"/>
          <w:lang w:val="fr-FR"/>
        </w:rPr>
        <w:t>S</w:t>
      </w:r>
      <w:r w:rsidR="00B069E1" w:rsidRPr="00B069E1">
        <w:rPr>
          <w:color w:val="000000"/>
          <w:lang w:val="fr-FR"/>
        </w:rPr>
        <w:t>. Gattamelata et </w:t>
      </w:r>
      <w:r w:rsidR="006C1D0C" w:rsidRPr="00B069E1">
        <w:rPr>
          <w:color w:val="000000"/>
          <w:lang w:val="fr-FR"/>
        </w:rPr>
        <w:t>R. </w:t>
      </w:r>
      <w:r w:rsidR="00C5435C" w:rsidRPr="00B069E1">
        <w:rPr>
          <w:color w:val="000000"/>
          <w:lang w:val="fr-FR"/>
        </w:rPr>
        <w:t xml:space="preserve">Cuonzo, avocats à Rome. </w:t>
      </w:r>
      <w:r w:rsidR="00C5435C" w:rsidRPr="00B069E1">
        <w:rPr>
          <w:lang w:val="fr-FR"/>
        </w:rPr>
        <w:t xml:space="preserve">Le </w:t>
      </w:r>
      <w:r w:rsidR="0006545B" w:rsidRPr="00B069E1">
        <w:rPr>
          <w:lang w:val="fr-FR"/>
        </w:rPr>
        <w:t>g</w:t>
      </w:r>
      <w:r w:rsidR="00E77CB3" w:rsidRPr="00B069E1">
        <w:rPr>
          <w:lang w:val="fr-FR"/>
        </w:rPr>
        <w:t xml:space="preserve">ouvernement </w:t>
      </w:r>
      <w:r w:rsidR="00C44054" w:rsidRPr="00B069E1">
        <w:rPr>
          <w:lang w:val="fr-FR"/>
        </w:rPr>
        <w:t>italien</w:t>
      </w:r>
      <w:r w:rsidR="00E77CB3" w:rsidRPr="00B069E1">
        <w:rPr>
          <w:lang w:val="fr-FR"/>
        </w:rPr>
        <w:t xml:space="preserve"> (« le Gouvernement ») a été représenté par son agent, </w:t>
      </w:r>
      <w:r w:rsidRPr="00B069E1">
        <w:rPr>
          <w:lang w:val="fr-FR"/>
        </w:rPr>
        <w:t>M</w:t>
      </w:r>
      <w:r w:rsidRPr="00B069E1">
        <w:rPr>
          <w:vertAlign w:val="superscript"/>
          <w:lang w:val="fr-FR"/>
        </w:rPr>
        <w:t>me</w:t>
      </w:r>
      <w:r w:rsidRPr="00B069E1">
        <w:rPr>
          <w:lang w:val="fr-FR"/>
        </w:rPr>
        <w:t xml:space="preserve"> E</w:t>
      </w:r>
      <w:r w:rsidR="004A422D" w:rsidRPr="00B069E1">
        <w:rPr>
          <w:lang w:val="fr-FR"/>
        </w:rPr>
        <w:t>.</w:t>
      </w:r>
      <w:r w:rsidRPr="00B069E1">
        <w:rPr>
          <w:lang w:val="fr-FR"/>
        </w:rPr>
        <w:t xml:space="preserve"> Spatafora</w:t>
      </w:r>
      <w:r w:rsidR="00E77CB3" w:rsidRPr="00B069E1">
        <w:rPr>
          <w:lang w:val="fr-FR"/>
        </w:rPr>
        <w:t>.</w:t>
      </w:r>
    </w:p>
    <w:p w:rsidR="00E77CB3" w:rsidRPr="00B069E1" w:rsidRDefault="00C44054" w:rsidP="00B069E1">
      <w:pPr>
        <w:pStyle w:val="ECHRPara"/>
        <w:rPr>
          <w:szCs w:val="24"/>
          <w:lang w:val="fr-FR" w:eastAsia="en-GB"/>
        </w:rPr>
      </w:pPr>
      <w:r w:rsidRPr="00B069E1">
        <w:rPr>
          <w:lang w:val="fr-FR"/>
        </w:rPr>
        <w:fldChar w:fldCharType="begin"/>
      </w:r>
      <w:r w:rsidRPr="00B069E1">
        <w:rPr>
          <w:lang w:val="fr-FR"/>
        </w:rPr>
        <w:instrText xml:space="preserve"> SEQ level0 \*arabic </w:instrText>
      </w:r>
      <w:r w:rsidRPr="00B069E1">
        <w:rPr>
          <w:lang w:val="fr-FR"/>
        </w:rPr>
        <w:fldChar w:fldCharType="separate"/>
      </w:r>
      <w:r w:rsidR="00B069E1" w:rsidRPr="00B069E1">
        <w:rPr>
          <w:noProof/>
          <w:lang w:val="fr-FR"/>
        </w:rPr>
        <w:t>3</w:t>
      </w:r>
      <w:r w:rsidRPr="00B069E1">
        <w:rPr>
          <w:lang w:val="fr-FR"/>
        </w:rPr>
        <w:fldChar w:fldCharType="end"/>
      </w:r>
      <w:r w:rsidR="00E77CB3" w:rsidRPr="00B069E1">
        <w:rPr>
          <w:lang w:val="fr-FR"/>
        </w:rPr>
        <w:t>.  </w:t>
      </w:r>
      <w:r w:rsidRPr="00B069E1">
        <w:rPr>
          <w:lang w:val="fr-FR"/>
        </w:rPr>
        <w:t xml:space="preserve">Le </w:t>
      </w:r>
      <w:r w:rsidRPr="00B069E1">
        <w:rPr>
          <w:szCs w:val="24"/>
          <w:lang w:val="fr-FR"/>
        </w:rPr>
        <w:t>29 janvier 2013</w:t>
      </w:r>
      <w:r w:rsidR="00E77CB3" w:rsidRPr="00B069E1">
        <w:rPr>
          <w:lang w:val="fr-FR"/>
        </w:rPr>
        <w:t xml:space="preserve">, </w:t>
      </w:r>
      <w:r w:rsidRPr="00B069E1">
        <w:rPr>
          <w:lang w:val="fr-FR"/>
        </w:rPr>
        <w:t>la requête a été communiquée au Gouvernement</w:t>
      </w:r>
      <w:r w:rsidR="00C1262B" w:rsidRPr="00B069E1">
        <w:rPr>
          <w:lang w:val="fr-FR"/>
        </w:rPr>
        <w:t>.</w:t>
      </w:r>
    </w:p>
    <w:p w:rsidR="00E77CB3" w:rsidRPr="00B069E1" w:rsidRDefault="00E77CB3" w:rsidP="00B069E1">
      <w:pPr>
        <w:pStyle w:val="ECHRTitle1"/>
        <w:tabs>
          <w:tab w:val="left" w:pos="5387"/>
        </w:tabs>
        <w:rPr>
          <w:lang w:val="fr-FR"/>
        </w:rPr>
      </w:pPr>
      <w:r w:rsidRPr="00B069E1">
        <w:rPr>
          <w:lang w:val="fr-FR"/>
        </w:rPr>
        <w:t>EN FAIT</w:t>
      </w:r>
    </w:p>
    <w:p w:rsidR="00E77CB3" w:rsidRPr="00B069E1" w:rsidRDefault="00E77CB3" w:rsidP="00B069E1">
      <w:pPr>
        <w:pStyle w:val="ECHRHeading1"/>
        <w:rPr>
          <w:lang w:val="fr-FR"/>
        </w:rPr>
      </w:pPr>
      <w:r w:rsidRPr="00B069E1">
        <w:rPr>
          <w:lang w:val="fr-FR"/>
        </w:rPr>
        <w:t>I.  LES CIRCONSTANCES DE L</w:t>
      </w:r>
      <w:r w:rsidR="00B069E1" w:rsidRPr="00B069E1">
        <w:rPr>
          <w:lang w:val="fr-FR"/>
        </w:rPr>
        <w:t>’</w:t>
      </w:r>
      <w:r w:rsidRPr="00B069E1">
        <w:rPr>
          <w:lang w:val="fr-FR"/>
        </w:rPr>
        <w:t>ESPÈCE</w:t>
      </w:r>
    </w:p>
    <w:p w:rsidR="00C5435C" w:rsidRPr="00B069E1" w:rsidRDefault="00B276FE" w:rsidP="00B069E1">
      <w:pPr>
        <w:pStyle w:val="ECHRPara"/>
        <w:rPr>
          <w:lang w:val="fr-FR"/>
        </w:rPr>
      </w:pPr>
      <w:r w:rsidRPr="00B069E1">
        <w:rPr>
          <w:lang w:val="fr-FR"/>
        </w:rPr>
        <w:fldChar w:fldCharType="begin"/>
      </w:r>
      <w:r w:rsidRPr="00B069E1">
        <w:rPr>
          <w:lang w:val="fr-FR"/>
        </w:rPr>
        <w:instrText xml:space="preserve"> SEQ level0 \*arabic </w:instrText>
      </w:r>
      <w:r w:rsidRPr="00B069E1">
        <w:rPr>
          <w:lang w:val="fr-FR"/>
        </w:rPr>
        <w:fldChar w:fldCharType="separate"/>
      </w:r>
      <w:r w:rsidR="00B069E1" w:rsidRPr="00B069E1">
        <w:rPr>
          <w:noProof/>
          <w:lang w:val="fr-FR"/>
        </w:rPr>
        <w:t>4</w:t>
      </w:r>
      <w:r w:rsidRPr="00B069E1">
        <w:rPr>
          <w:lang w:val="fr-FR"/>
        </w:rPr>
        <w:fldChar w:fldCharType="end"/>
      </w:r>
      <w:r w:rsidRPr="00B069E1">
        <w:rPr>
          <w:lang w:val="fr-FR"/>
        </w:rPr>
        <w:t>.  </w:t>
      </w:r>
      <w:r w:rsidR="00C5435C" w:rsidRPr="00B069E1">
        <w:rPr>
          <w:lang w:val="fr-FR"/>
        </w:rPr>
        <w:t xml:space="preserve">En juillet 1981, les requérants saisirent la </w:t>
      </w:r>
      <w:r w:rsidR="009E5000" w:rsidRPr="00B069E1">
        <w:rPr>
          <w:lang w:val="fr-FR"/>
        </w:rPr>
        <w:t>c</w:t>
      </w:r>
      <w:r w:rsidR="00C5435C" w:rsidRPr="00B069E1">
        <w:rPr>
          <w:lang w:val="fr-FR"/>
        </w:rPr>
        <w:t xml:space="preserve">ommission juridictionnelle pour le personnel de la Chambre des députés (« la </w:t>
      </w:r>
      <w:r w:rsidR="009E5000" w:rsidRPr="00B069E1">
        <w:rPr>
          <w:lang w:val="fr-FR"/>
        </w:rPr>
        <w:t>c</w:t>
      </w:r>
      <w:r w:rsidR="00C5435C" w:rsidRPr="00B069E1">
        <w:rPr>
          <w:lang w:val="fr-FR"/>
        </w:rPr>
        <w:t>ommission ») afin de contester leur classement dans la première catégorie professionnelle.</w:t>
      </w:r>
    </w:p>
    <w:p w:rsidR="00C5435C" w:rsidRPr="00B069E1" w:rsidRDefault="00C5435C" w:rsidP="00B069E1">
      <w:pPr>
        <w:pStyle w:val="ECHRPara"/>
        <w:rPr>
          <w:lang w:val="fr-FR"/>
        </w:rPr>
      </w:pPr>
      <w:r w:rsidRPr="00B069E1">
        <w:rPr>
          <w:lang w:val="fr-FR"/>
        </w:rPr>
        <w:fldChar w:fldCharType="begin"/>
      </w:r>
      <w:r w:rsidRPr="00B069E1">
        <w:rPr>
          <w:lang w:val="fr-FR"/>
        </w:rPr>
        <w:instrText xml:space="preserve"> SEQ level0 \*arabic </w:instrText>
      </w:r>
      <w:r w:rsidRPr="00B069E1">
        <w:rPr>
          <w:lang w:val="fr-FR"/>
        </w:rPr>
        <w:fldChar w:fldCharType="separate"/>
      </w:r>
      <w:r w:rsidR="00B069E1" w:rsidRPr="00B069E1">
        <w:rPr>
          <w:noProof/>
          <w:lang w:val="fr-FR"/>
        </w:rPr>
        <w:t>5</w:t>
      </w:r>
      <w:r w:rsidRPr="00B069E1">
        <w:rPr>
          <w:lang w:val="fr-FR"/>
        </w:rPr>
        <w:fldChar w:fldCharType="end"/>
      </w:r>
      <w:r w:rsidRPr="00B069E1">
        <w:rPr>
          <w:lang w:val="fr-FR"/>
        </w:rPr>
        <w:t xml:space="preserve">.  Par six décisions </w:t>
      </w:r>
      <w:r w:rsidR="00A4300A" w:rsidRPr="00B069E1">
        <w:rPr>
          <w:lang w:val="fr-FR"/>
        </w:rPr>
        <w:t>déposées au greffe</w:t>
      </w:r>
      <w:r w:rsidR="009E5000" w:rsidRPr="00B069E1">
        <w:rPr>
          <w:lang w:val="fr-FR"/>
        </w:rPr>
        <w:t xml:space="preserve"> </w:t>
      </w:r>
      <w:r w:rsidRPr="00B069E1">
        <w:rPr>
          <w:lang w:val="fr-FR"/>
        </w:rPr>
        <w:t xml:space="preserve">le 29 septembre 1999, la </w:t>
      </w:r>
      <w:r w:rsidR="009E5000" w:rsidRPr="00B069E1">
        <w:rPr>
          <w:lang w:val="fr-FR"/>
        </w:rPr>
        <w:t>c</w:t>
      </w:r>
      <w:r w:rsidRPr="00B069E1">
        <w:rPr>
          <w:lang w:val="fr-FR"/>
        </w:rPr>
        <w:t>ommission rejeta les demandes des requérants.</w:t>
      </w:r>
    </w:p>
    <w:p w:rsidR="00C5435C" w:rsidRPr="00B069E1" w:rsidRDefault="00C5435C" w:rsidP="00B069E1">
      <w:pPr>
        <w:pStyle w:val="ECHRPara"/>
        <w:rPr>
          <w:lang w:val="fr-FR"/>
        </w:rPr>
      </w:pPr>
      <w:r w:rsidRPr="00B069E1">
        <w:rPr>
          <w:lang w:val="fr-FR"/>
        </w:rPr>
        <w:fldChar w:fldCharType="begin"/>
      </w:r>
      <w:r w:rsidRPr="00B069E1">
        <w:rPr>
          <w:lang w:val="fr-FR"/>
        </w:rPr>
        <w:instrText xml:space="preserve"> SEQ level0 \*arabic </w:instrText>
      </w:r>
      <w:r w:rsidRPr="00B069E1">
        <w:rPr>
          <w:lang w:val="fr-FR"/>
        </w:rPr>
        <w:fldChar w:fldCharType="separate"/>
      </w:r>
      <w:r w:rsidR="00B069E1" w:rsidRPr="00B069E1">
        <w:rPr>
          <w:noProof/>
          <w:lang w:val="fr-FR"/>
        </w:rPr>
        <w:t>6</w:t>
      </w:r>
      <w:r w:rsidRPr="00B069E1">
        <w:rPr>
          <w:lang w:val="fr-FR"/>
        </w:rPr>
        <w:fldChar w:fldCharType="end"/>
      </w:r>
      <w:r w:rsidRPr="00B069E1">
        <w:rPr>
          <w:lang w:val="fr-FR"/>
        </w:rPr>
        <w:t>.  </w:t>
      </w:r>
      <w:r w:rsidRPr="00B069E1">
        <w:rPr>
          <w:rFonts w:cstheme="minorHAnsi"/>
          <w:lang w:val="fr-FR"/>
        </w:rPr>
        <w:t>À</w:t>
      </w:r>
      <w:r w:rsidRPr="00B069E1">
        <w:rPr>
          <w:lang w:val="fr-FR"/>
        </w:rPr>
        <w:t xml:space="preserve"> </w:t>
      </w:r>
      <w:r w:rsidR="00A138AA" w:rsidRPr="00B069E1">
        <w:rPr>
          <w:lang w:val="fr-FR"/>
        </w:rPr>
        <w:t xml:space="preserve">différentes </w:t>
      </w:r>
      <w:r w:rsidRPr="00B069E1">
        <w:rPr>
          <w:lang w:val="fr-FR"/>
        </w:rPr>
        <w:t xml:space="preserve">dates </w:t>
      </w:r>
      <w:r w:rsidR="00A138AA" w:rsidRPr="00B069E1">
        <w:rPr>
          <w:lang w:val="fr-FR"/>
        </w:rPr>
        <w:t xml:space="preserve">entre </w:t>
      </w:r>
      <w:r w:rsidRPr="00B069E1">
        <w:rPr>
          <w:lang w:val="fr-FR"/>
        </w:rPr>
        <w:t xml:space="preserve">novembre 1999 et janvier 2000, les requérants interjetèrent appel devant la </w:t>
      </w:r>
      <w:r w:rsidR="009E5000" w:rsidRPr="00B069E1">
        <w:rPr>
          <w:lang w:val="fr-FR"/>
        </w:rPr>
        <w:t>s</w:t>
      </w:r>
      <w:r w:rsidRPr="00B069E1">
        <w:rPr>
          <w:lang w:val="fr-FR"/>
        </w:rPr>
        <w:t xml:space="preserve">ection juridictionnelle du </w:t>
      </w:r>
      <w:r w:rsidR="009E5000" w:rsidRPr="00B069E1">
        <w:rPr>
          <w:lang w:val="fr-FR"/>
        </w:rPr>
        <w:t>B</w:t>
      </w:r>
      <w:r w:rsidRPr="00B069E1">
        <w:rPr>
          <w:lang w:val="fr-FR"/>
        </w:rPr>
        <w:t>ureau</w:t>
      </w:r>
      <w:r w:rsidR="00FF0D61" w:rsidRPr="00B069E1">
        <w:rPr>
          <w:lang w:val="fr-FR"/>
        </w:rPr>
        <w:t xml:space="preserve"> de la Chambre des députés </w:t>
      </w:r>
      <w:r w:rsidR="00BF288C" w:rsidRPr="00B069E1">
        <w:rPr>
          <w:lang w:val="fr-FR"/>
        </w:rPr>
        <w:t xml:space="preserve">(« la section juridictionnelle ») </w:t>
      </w:r>
      <w:r w:rsidR="00FF0D61" w:rsidRPr="00B069E1">
        <w:rPr>
          <w:lang w:val="fr-FR"/>
        </w:rPr>
        <w:t>qui,</w:t>
      </w:r>
      <w:r w:rsidRPr="00B069E1">
        <w:rPr>
          <w:lang w:val="fr-FR"/>
        </w:rPr>
        <w:t xml:space="preserve"> après avoir décidé de joindre les requêtes, débouta</w:t>
      </w:r>
      <w:r w:rsidR="009E5000" w:rsidRPr="00B069E1">
        <w:rPr>
          <w:lang w:val="fr-FR"/>
        </w:rPr>
        <w:t xml:space="preserve"> </w:t>
      </w:r>
      <w:r w:rsidR="00A138AA" w:rsidRPr="00B069E1">
        <w:rPr>
          <w:lang w:val="fr-FR"/>
        </w:rPr>
        <w:t xml:space="preserve">les intéressés </w:t>
      </w:r>
      <w:r w:rsidR="009E5000" w:rsidRPr="00B069E1">
        <w:rPr>
          <w:lang w:val="fr-FR"/>
        </w:rPr>
        <w:t>par un arrêt du 26</w:t>
      </w:r>
      <w:r w:rsidR="00212BE5" w:rsidRPr="00B069E1">
        <w:rPr>
          <w:lang w:val="fr-FR"/>
        </w:rPr>
        <w:t> </w:t>
      </w:r>
      <w:r w:rsidR="009E5000" w:rsidRPr="00B069E1">
        <w:rPr>
          <w:lang w:val="fr-FR"/>
        </w:rPr>
        <w:t>janvier</w:t>
      </w:r>
      <w:r w:rsidR="00B069E1" w:rsidRPr="00B069E1">
        <w:rPr>
          <w:lang w:val="fr-FR"/>
        </w:rPr>
        <w:t xml:space="preserve"> </w:t>
      </w:r>
      <w:r w:rsidR="009E5000" w:rsidRPr="00B069E1">
        <w:rPr>
          <w:lang w:val="fr-FR"/>
        </w:rPr>
        <w:t>2009</w:t>
      </w:r>
      <w:r w:rsidRPr="00B069E1">
        <w:rPr>
          <w:lang w:val="fr-FR"/>
        </w:rPr>
        <w:t>.</w:t>
      </w:r>
    </w:p>
    <w:p w:rsidR="00C5435C" w:rsidRPr="00B069E1" w:rsidRDefault="00C5435C" w:rsidP="00B069E1">
      <w:pPr>
        <w:pStyle w:val="ECHRPara"/>
        <w:rPr>
          <w:lang w:val="fr-FR"/>
        </w:rPr>
      </w:pPr>
      <w:r w:rsidRPr="00B069E1">
        <w:rPr>
          <w:lang w:val="fr-FR"/>
        </w:rPr>
        <w:lastRenderedPageBreak/>
        <w:fldChar w:fldCharType="begin"/>
      </w:r>
      <w:r w:rsidRPr="00B069E1">
        <w:rPr>
          <w:lang w:val="fr-FR"/>
        </w:rPr>
        <w:instrText xml:space="preserve"> SEQ level0 \*arabic </w:instrText>
      </w:r>
      <w:r w:rsidRPr="00B069E1">
        <w:rPr>
          <w:lang w:val="fr-FR"/>
        </w:rPr>
        <w:fldChar w:fldCharType="separate"/>
      </w:r>
      <w:r w:rsidR="00B069E1" w:rsidRPr="00B069E1">
        <w:rPr>
          <w:noProof/>
          <w:lang w:val="fr-FR"/>
        </w:rPr>
        <w:t>7</w:t>
      </w:r>
      <w:r w:rsidRPr="00B069E1">
        <w:rPr>
          <w:lang w:val="fr-FR"/>
        </w:rPr>
        <w:fldChar w:fldCharType="end"/>
      </w:r>
      <w:r w:rsidRPr="00B069E1">
        <w:rPr>
          <w:lang w:val="fr-FR"/>
        </w:rPr>
        <w:t>.  Le 16 juillet 2009, les requérants saisi</w:t>
      </w:r>
      <w:r w:rsidR="00FF0D61" w:rsidRPr="00B069E1">
        <w:rPr>
          <w:lang w:val="fr-FR"/>
        </w:rPr>
        <w:t xml:space="preserve">rent le </w:t>
      </w:r>
      <w:r w:rsidR="009E5000" w:rsidRPr="00B069E1">
        <w:rPr>
          <w:lang w:val="fr-FR"/>
        </w:rPr>
        <w:t>c</w:t>
      </w:r>
      <w:r w:rsidRPr="00B069E1">
        <w:rPr>
          <w:lang w:val="fr-FR"/>
        </w:rPr>
        <w:t>ollège d</w:t>
      </w:r>
      <w:r w:rsidR="00B069E1" w:rsidRPr="00B069E1">
        <w:rPr>
          <w:lang w:val="fr-FR"/>
        </w:rPr>
        <w:t>’</w:t>
      </w:r>
      <w:r w:rsidRPr="00B069E1">
        <w:rPr>
          <w:lang w:val="fr-FR"/>
        </w:rPr>
        <w:t xml:space="preserve">appel </w:t>
      </w:r>
      <w:r w:rsidR="0090715C" w:rsidRPr="00B069E1">
        <w:rPr>
          <w:lang w:val="fr-FR"/>
        </w:rPr>
        <w:t>(</w:t>
      </w:r>
      <w:r w:rsidR="0090715C" w:rsidRPr="00B069E1">
        <w:rPr>
          <w:i/>
          <w:lang w:val="fr-FR"/>
        </w:rPr>
        <w:t>Collegio d</w:t>
      </w:r>
      <w:r w:rsidR="00B069E1" w:rsidRPr="00B069E1">
        <w:rPr>
          <w:i/>
          <w:lang w:val="fr-FR"/>
        </w:rPr>
        <w:t>’</w:t>
      </w:r>
      <w:r w:rsidR="0090715C" w:rsidRPr="00B069E1">
        <w:rPr>
          <w:i/>
          <w:lang w:val="fr-FR"/>
        </w:rPr>
        <w:t>appello</w:t>
      </w:r>
      <w:r w:rsidR="0090715C" w:rsidRPr="00B069E1">
        <w:rPr>
          <w:lang w:val="fr-FR"/>
        </w:rPr>
        <w:t xml:space="preserve">) </w:t>
      </w:r>
      <w:r w:rsidRPr="00B069E1">
        <w:rPr>
          <w:lang w:val="fr-FR"/>
        </w:rPr>
        <w:t xml:space="preserve">de la Chambre des députés </w:t>
      </w:r>
      <w:r w:rsidR="0090715C" w:rsidRPr="00B069E1">
        <w:rPr>
          <w:lang w:val="fr-FR"/>
        </w:rPr>
        <w:t>(</w:t>
      </w:r>
      <w:r w:rsidR="009E5000" w:rsidRPr="00B069E1">
        <w:rPr>
          <w:lang w:val="fr-FR"/>
        </w:rPr>
        <w:t>« le collège d</w:t>
      </w:r>
      <w:r w:rsidR="00B069E1" w:rsidRPr="00B069E1">
        <w:rPr>
          <w:lang w:val="fr-FR"/>
        </w:rPr>
        <w:t>’</w:t>
      </w:r>
      <w:r w:rsidR="009E5000" w:rsidRPr="00B069E1">
        <w:rPr>
          <w:lang w:val="fr-FR"/>
        </w:rPr>
        <w:t xml:space="preserve">appel ») </w:t>
      </w:r>
      <w:r w:rsidRPr="00B069E1">
        <w:rPr>
          <w:lang w:val="fr-FR"/>
        </w:rPr>
        <w:t>afin d</w:t>
      </w:r>
      <w:r w:rsidR="00B069E1" w:rsidRPr="00B069E1">
        <w:rPr>
          <w:lang w:val="fr-FR"/>
        </w:rPr>
        <w:t>’</w:t>
      </w:r>
      <w:r w:rsidRPr="00B069E1">
        <w:rPr>
          <w:lang w:val="fr-FR"/>
        </w:rPr>
        <w:t xml:space="preserve">obtenir, </w:t>
      </w:r>
      <w:r w:rsidR="00783BAC" w:rsidRPr="00B069E1">
        <w:rPr>
          <w:lang w:val="fr-FR"/>
        </w:rPr>
        <w:t>sur le fondement de</w:t>
      </w:r>
      <w:r w:rsidRPr="00B069E1">
        <w:rPr>
          <w:lang w:val="fr-FR"/>
        </w:rPr>
        <w:t xml:space="preserve"> la loi n</w:t>
      </w:r>
      <w:r w:rsidRPr="00B069E1">
        <w:rPr>
          <w:vertAlign w:val="superscript"/>
          <w:lang w:val="fr-FR"/>
        </w:rPr>
        <w:t>o</w:t>
      </w:r>
      <w:r w:rsidRPr="00B069E1">
        <w:rPr>
          <w:lang w:val="fr-FR"/>
        </w:rPr>
        <w:t xml:space="preserve"> 89 du </w:t>
      </w:r>
      <w:r w:rsidR="00A4300A" w:rsidRPr="00B069E1">
        <w:rPr>
          <w:lang w:val="fr-FR"/>
        </w:rPr>
        <w:t xml:space="preserve">24 mars </w:t>
      </w:r>
      <w:r w:rsidRPr="00B069E1">
        <w:rPr>
          <w:lang w:val="fr-FR"/>
        </w:rPr>
        <w:t>2001</w:t>
      </w:r>
      <w:r w:rsidR="00A4300A" w:rsidRPr="00B069E1">
        <w:rPr>
          <w:lang w:val="fr-FR"/>
        </w:rPr>
        <w:t>, dite « loi Pinto »</w:t>
      </w:r>
      <w:r w:rsidRPr="00B069E1">
        <w:rPr>
          <w:lang w:val="fr-FR"/>
        </w:rPr>
        <w:t xml:space="preserve">, la réparation des dommages moraux </w:t>
      </w:r>
      <w:r w:rsidR="00A4300A" w:rsidRPr="00B069E1">
        <w:rPr>
          <w:lang w:val="fr-FR"/>
        </w:rPr>
        <w:t>qu</w:t>
      </w:r>
      <w:r w:rsidR="00B069E1" w:rsidRPr="00B069E1">
        <w:rPr>
          <w:lang w:val="fr-FR"/>
        </w:rPr>
        <w:t>’</w:t>
      </w:r>
      <w:r w:rsidR="00A4300A" w:rsidRPr="00B069E1">
        <w:rPr>
          <w:lang w:val="fr-FR"/>
        </w:rPr>
        <w:t>ils estimaient avoir subis en raison de</w:t>
      </w:r>
      <w:r w:rsidRPr="00B069E1">
        <w:rPr>
          <w:lang w:val="fr-FR"/>
        </w:rPr>
        <w:t xml:space="preserve"> la durée des procédures principales.</w:t>
      </w:r>
    </w:p>
    <w:p w:rsidR="00E77CB3" w:rsidRPr="00B069E1" w:rsidRDefault="00C5435C" w:rsidP="00B069E1">
      <w:pPr>
        <w:pStyle w:val="ECHRPara"/>
        <w:rPr>
          <w:lang w:val="fr-FR"/>
        </w:rPr>
      </w:pPr>
      <w:r w:rsidRPr="00B069E1">
        <w:rPr>
          <w:lang w:val="fr-FR"/>
        </w:rPr>
        <w:fldChar w:fldCharType="begin"/>
      </w:r>
      <w:r w:rsidRPr="00B069E1">
        <w:rPr>
          <w:lang w:val="fr-FR"/>
        </w:rPr>
        <w:instrText xml:space="preserve"> SEQ level0 \*arabic </w:instrText>
      </w:r>
      <w:r w:rsidRPr="00B069E1">
        <w:rPr>
          <w:lang w:val="fr-FR"/>
        </w:rPr>
        <w:fldChar w:fldCharType="separate"/>
      </w:r>
      <w:r w:rsidR="00B069E1" w:rsidRPr="00B069E1">
        <w:rPr>
          <w:noProof/>
          <w:lang w:val="fr-FR"/>
        </w:rPr>
        <w:t>8</w:t>
      </w:r>
      <w:r w:rsidRPr="00B069E1">
        <w:rPr>
          <w:lang w:val="fr-FR"/>
        </w:rPr>
        <w:fldChar w:fldCharType="end"/>
      </w:r>
      <w:r w:rsidRPr="00B069E1">
        <w:rPr>
          <w:lang w:val="fr-FR"/>
        </w:rPr>
        <w:t>.  Par une décision déposée au gref</w:t>
      </w:r>
      <w:r w:rsidR="00FF0D61" w:rsidRPr="00B069E1">
        <w:rPr>
          <w:lang w:val="fr-FR"/>
        </w:rPr>
        <w:t xml:space="preserve">fe le 8 novembre 2010, le </w:t>
      </w:r>
      <w:r w:rsidR="00A4300A" w:rsidRPr="00B069E1">
        <w:rPr>
          <w:lang w:val="fr-FR"/>
        </w:rPr>
        <w:t>c</w:t>
      </w:r>
      <w:r w:rsidRPr="00B069E1">
        <w:rPr>
          <w:lang w:val="fr-FR"/>
        </w:rPr>
        <w:t>ollège d</w:t>
      </w:r>
      <w:r w:rsidR="00B069E1" w:rsidRPr="00B069E1">
        <w:rPr>
          <w:lang w:val="fr-FR"/>
        </w:rPr>
        <w:t>’</w:t>
      </w:r>
      <w:r w:rsidRPr="00B069E1">
        <w:rPr>
          <w:lang w:val="fr-FR"/>
        </w:rPr>
        <w:t>appel constata que la procédure d</w:t>
      </w:r>
      <w:r w:rsidR="00B069E1" w:rsidRPr="00B069E1">
        <w:rPr>
          <w:lang w:val="fr-FR"/>
        </w:rPr>
        <w:t>’</w:t>
      </w:r>
      <w:r w:rsidRPr="00B069E1">
        <w:rPr>
          <w:lang w:val="fr-FR"/>
        </w:rPr>
        <w:t xml:space="preserve">appel </w:t>
      </w:r>
      <w:r w:rsidR="00FF0D61" w:rsidRPr="00B069E1">
        <w:rPr>
          <w:lang w:val="fr-FR"/>
        </w:rPr>
        <w:t xml:space="preserve">avait </w:t>
      </w:r>
      <w:r w:rsidR="00783BAC" w:rsidRPr="00B069E1">
        <w:rPr>
          <w:lang w:val="fr-FR"/>
        </w:rPr>
        <w:t xml:space="preserve">excédé </w:t>
      </w:r>
      <w:r w:rsidRPr="00B069E1">
        <w:rPr>
          <w:lang w:val="fr-FR"/>
        </w:rPr>
        <w:t xml:space="preserve">une « durée raisonnable » et accorda à chaque requérant 4 000 </w:t>
      </w:r>
      <w:r w:rsidR="00112709" w:rsidRPr="00B069E1">
        <w:rPr>
          <w:lang w:val="fr-FR"/>
        </w:rPr>
        <w:t>euros (</w:t>
      </w:r>
      <w:r w:rsidRPr="00B069E1">
        <w:rPr>
          <w:lang w:val="fr-FR"/>
        </w:rPr>
        <w:t>EUR</w:t>
      </w:r>
      <w:r w:rsidR="00112709" w:rsidRPr="00B069E1">
        <w:rPr>
          <w:lang w:val="fr-FR"/>
        </w:rPr>
        <w:t>)</w:t>
      </w:r>
      <w:r w:rsidRPr="00B069E1">
        <w:rPr>
          <w:lang w:val="fr-FR"/>
        </w:rPr>
        <w:t xml:space="preserve"> </w:t>
      </w:r>
      <w:r w:rsidR="00783BAC" w:rsidRPr="00B069E1">
        <w:rPr>
          <w:lang w:val="fr-FR"/>
        </w:rPr>
        <w:t xml:space="preserve">au </w:t>
      </w:r>
      <w:r w:rsidRPr="00B069E1">
        <w:rPr>
          <w:lang w:val="fr-FR"/>
        </w:rPr>
        <w:t>titre d</w:t>
      </w:r>
      <w:r w:rsidR="00783BAC" w:rsidRPr="00B069E1">
        <w:rPr>
          <w:lang w:val="fr-FR"/>
        </w:rPr>
        <w:t>u</w:t>
      </w:r>
      <w:r w:rsidRPr="00B069E1">
        <w:rPr>
          <w:lang w:val="fr-FR"/>
        </w:rPr>
        <w:t xml:space="preserve"> dommage moral. Toutefois, il rejeta la demande en réparation </w:t>
      </w:r>
      <w:r w:rsidR="00A4300A" w:rsidRPr="00B069E1">
        <w:rPr>
          <w:lang w:val="fr-FR"/>
        </w:rPr>
        <w:t>relative à</w:t>
      </w:r>
      <w:r w:rsidRPr="00B069E1">
        <w:rPr>
          <w:lang w:val="fr-FR"/>
        </w:rPr>
        <w:t xml:space="preserve"> la durée de la procédure en première instance, au motif que les requérants auraient dû saisir la Cour européenne </w:t>
      </w:r>
      <w:r w:rsidR="00A4300A" w:rsidRPr="00B069E1">
        <w:rPr>
          <w:lang w:val="fr-FR"/>
        </w:rPr>
        <w:t>des droits de l</w:t>
      </w:r>
      <w:r w:rsidR="00B069E1" w:rsidRPr="00B069E1">
        <w:rPr>
          <w:lang w:val="fr-FR"/>
        </w:rPr>
        <w:t>’</w:t>
      </w:r>
      <w:r w:rsidR="00A4300A" w:rsidRPr="00B069E1">
        <w:rPr>
          <w:lang w:val="fr-FR"/>
        </w:rPr>
        <w:t xml:space="preserve">homme </w:t>
      </w:r>
      <w:r w:rsidRPr="00B069E1">
        <w:rPr>
          <w:lang w:val="fr-FR"/>
        </w:rPr>
        <w:t>à l</w:t>
      </w:r>
      <w:r w:rsidR="00B069E1" w:rsidRPr="00B069E1">
        <w:rPr>
          <w:lang w:val="fr-FR"/>
        </w:rPr>
        <w:t>’</w:t>
      </w:r>
      <w:r w:rsidRPr="00B069E1">
        <w:rPr>
          <w:lang w:val="fr-FR"/>
        </w:rPr>
        <w:t>issue de ladite procédure.</w:t>
      </w:r>
    </w:p>
    <w:p w:rsidR="00E77CB3" w:rsidRPr="00B069E1" w:rsidRDefault="00E77CB3" w:rsidP="00B069E1">
      <w:pPr>
        <w:pStyle w:val="ECHRHeading1"/>
        <w:rPr>
          <w:lang w:val="fr-FR"/>
        </w:rPr>
      </w:pPr>
      <w:r w:rsidRPr="00B069E1">
        <w:rPr>
          <w:lang w:val="fr-FR"/>
        </w:rPr>
        <w:t>II.  LE DROIT ET LA PRATIQUE INTERNES</w:t>
      </w:r>
      <w:r w:rsidR="00C5435C" w:rsidRPr="00B069E1">
        <w:rPr>
          <w:lang w:val="fr-FR"/>
        </w:rPr>
        <w:t xml:space="preserve"> </w:t>
      </w:r>
      <w:r w:rsidRPr="00B069E1">
        <w:rPr>
          <w:lang w:val="fr-FR"/>
        </w:rPr>
        <w:t>PERTINENTS</w:t>
      </w:r>
    </w:p>
    <w:p w:rsidR="00E77CB3" w:rsidRPr="00B069E1" w:rsidRDefault="00C44054" w:rsidP="00B069E1">
      <w:pPr>
        <w:pStyle w:val="ECHRPara"/>
        <w:rPr>
          <w:lang w:val="fr-FR"/>
        </w:rPr>
      </w:pPr>
      <w:r w:rsidRPr="00B069E1">
        <w:rPr>
          <w:lang w:val="fr-FR"/>
        </w:rPr>
        <w:fldChar w:fldCharType="begin"/>
      </w:r>
      <w:r w:rsidRPr="00B069E1">
        <w:rPr>
          <w:lang w:val="fr-FR"/>
        </w:rPr>
        <w:instrText xml:space="preserve"> SEQ level0 \*arabic </w:instrText>
      </w:r>
      <w:r w:rsidRPr="00B069E1">
        <w:rPr>
          <w:lang w:val="fr-FR"/>
        </w:rPr>
        <w:fldChar w:fldCharType="separate"/>
      </w:r>
      <w:r w:rsidR="00B069E1" w:rsidRPr="00B069E1">
        <w:rPr>
          <w:noProof/>
          <w:lang w:val="fr-FR"/>
        </w:rPr>
        <w:t>9</w:t>
      </w:r>
      <w:r w:rsidRPr="00B069E1">
        <w:rPr>
          <w:lang w:val="fr-FR"/>
        </w:rPr>
        <w:fldChar w:fldCharType="end"/>
      </w:r>
      <w:r w:rsidR="00E77CB3" w:rsidRPr="00B069E1">
        <w:rPr>
          <w:lang w:val="fr-FR"/>
        </w:rPr>
        <w:t>.  </w:t>
      </w:r>
      <w:r w:rsidR="007F39F1" w:rsidRPr="00B069E1">
        <w:rPr>
          <w:lang w:val="fr-FR"/>
        </w:rPr>
        <w:t>Le droit et la pratique internes pertinents relatifs à la loi Pinto</w:t>
      </w:r>
      <w:r w:rsidR="00A4300A" w:rsidRPr="00B069E1">
        <w:rPr>
          <w:lang w:val="fr-FR"/>
        </w:rPr>
        <w:t xml:space="preserve"> </w:t>
      </w:r>
      <w:r w:rsidR="007F39F1" w:rsidRPr="00B069E1">
        <w:rPr>
          <w:lang w:val="fr-FR"/>
        </w:rPr>
        <w:t>figurent dans l</w:t>
      </w:r>
      <w:r w:rsidR="00B069E1" w:rsidRPr="00B069E1">
        <w:rPr>
          <w:lang w:val="fr-FR"/>
        </w:rPr>
        <w:t>’</w:t>
      </w:r>
      <w:r w:rsidR="007F39F1" w:rsidRPr="00B069E1">
        <w:rPr>
          <w:lang w:val="fr-FR"/>
        </w:rPr>
        <w:t xml:space="preserve">arrêt </w:t>
      </w:r>
      <w:r w:rsidR="007F39F1" w:rsidRPr="00B069E1">
        <w:rPr>
          <w:i/>
          <w:lang w:val="fr-FR"/>
        </w:rPr>
        <w:t>Cocchiarella c. Italie</w:t>
      </w:r>
      <w:r w:rsidR="007F39F1" w:rsidRPr="00B069E1">
        <w:rPr>
          <w:lang w:val="fr-FR"/>
        </w:rPr>
        <w:t xml:space="preserve"> ([GC], n</w:t>
      </w:r>
      <w:r w:rsidR="00272D89" w:rsidRPr="00B069E1">
        <w:rPr>
          <w:vertAlign w:val="superscript"/>
          <w:lang w:val="fr-FR"/>
        </w:rPr>
        <w:t>o</w:t>
      </w:r>
      <w:r w:rsidR="00B069E1" w:rsidRPr="00B069E1">
        <w:rPr>
          <w:lang w:val="fr-FR"/>
        </w:rPr>
        <w:t xml:space="preserve"> 64886/01, §§ 23-31, CEDH </w:t>
      </w:r>
      <w:r w:rsidR="007F39F1" w:rsidRPr="00B069E1">
        <w:rPr>
          <w:lang w:val="fr-FR"/>
        </w:rPr>
        <w:t>2006-V)</w:t>
      </w:r>
      <w:r w:rsidR="00414D56" w:rsidRPr="00B069E1">
        <w:rPr>
          <w:lang w:val="fr-FR"/>
        </w:rPr>
        <w:t xml:space="preserve"> et ceux concernant la protection juridictionnelle du personnel de la Chambre des députés dans l</w:t>
      </w:r>
      <w:r w:rsidR="00B069E1" w:rsidRPr="00B069E1">
        <w:rPr>
          <w:lang w:val="fr-FR"/>
        </w:rPr>
        <w:t>’</w:t>
      </w:r>
      <w:r w:rsidR="00414D56" w:rsidRPr="00B069E1">
        <w:rPr>
          <w:lang w:val="fr-FR"/>
        </w:rPr>
        <w:t xml:space="preserve">arrêt </w:t>
      </w:r>
      <w:r w:rsidR="00414D56" w:rsidRPr="00B069E1">
        <w:rPr>
          <w:i/>
          <w:lang w:val="fr-FR"/>
        </w:rPr>
        <w:t>Savino et autres c. Italie</w:t>
      </w:r>
      <w:r w:rsidR="00414D56" w:rsidRPr="00B069E1">
        <w:rPr>
          <w:lang w:val="fr-FR"/>
        </w:rPr>
        <w:t xml:space="preserve"> (n</w:t>
      </w:r>
      <w:r w:rsidR="00414D56" w:rsidRPr="00B069E1">
        <w:rPr>
          <w:vertAlign w:val="superscript"/>
          <w:lang w:val="fr-FR"/>
        </w:rPr>
        <w:t>os</w:t>
      </w:r>
      <w:r w:rsidR="00414D56" w:rsidRPr="00B069E1">
        <w:rPr>
          <w:lang w:val="fr-FR"/>
        </w:rPr>
        <w:t xml:space="preserve"> 17214/05, 20329/05 et 42113/04, §§ 35-38, 28 avril 2009)</w:t>
      </w:r>
      <w:r w:rsidR="007F39F1" w:rsidRPr="00B069E1">
        <w:rPr>
          <w:lang w:val="fr-FR"/>
        </w:rPr>
        <w:t>.</w:t>
      </w:r>
    </w:p>
    <w:p w:rsidR="00E77CB3" w:rsidRPr="00B069E1" w:rsidRDefault="00E77CB3" w:rsidP="00B069E1">
      <w:pPr>
        <w:pStyle w:val="ECHRTitle1"/>
        <w:rPr>
          <w:lang w:val="fr-FR"/>
        </w:rPr>
      </w:pPr>
      <w:r w:rsidRPr="00B069E1">
        <w:rPr>
          <w:lang w:val="fr-FR"/>
        </w:rPr>
        <w:t>EN DROIT</w:t>
      </w:r>
    </w:p>
    <w:p w:rsidR="00E77CB3" w:rsidRPr="00B069E1" w:rsidRDefault="00E77CB3" w:rsidP="00B069E1">
      <w:pPr>
        <w:pStyle w:val="ECHRHeading1"/>
        <w:rPr>
          <w:lang w:val="fr-FR"/>
        </w:rPr>
      </w:pPr>
      <w:r w:rsidRPr="00B069E1">
        <w:rPr>
          <w:lang w:val="fr-FR"/>
        </w:rPr>
        <w:t>I.  SUR LA VIOLATION ALLÉGUÉE DE L</w:t>
      </w:r>
      <w:r w:rsidR="00B069E1" w:rsidRPr="00B069E1">
        <w:rPr>
          <w:lang w:val="fr-FR"/>
        </w:rPr>
        <w:t>’</w:t>
      </w:r>
      <w:r w:rsidRPr="00B069E1">
        <w:rPr>
          <w:lang w:val="fr-FR"/>
        </w:rPr>
        <w:t xml:space="preserve">ARTICLE </w:t>
      </w:r>
      <w:r w:rsidR="00F13FFC" w:rsidRPr="00B069E1">
        <w:rPr>
          <w:lang w:val="fr-FR"/>
        </w:rPr>
        <w:t>6 § 1</w:t>
      </w:r>
      <w:r w:rsidRPr="00B069E1">
        <w:rPr>
          <w:lang w:val="fr-FR"/>
        </w:rPr>
        <w:t xml:space="preserve"> DE LA CONVENTION</w:t>
      </w:r>
    </w:p>
    <w:p w:rsidR="00272D89" w:rsidRPr="00B069E1" w:rsidRDefault="00C44054" w:rsidP="00B069E1">
      <w:pPr>
        <w:pStyle w:val="ECHRPara"/>
        <w:rPr>
          <w:lang w:val="fr-FR"/>
        </w:rPr>
      </w:pPr>
      <w:r w:rsidRPr="00B069E1">
        <w:rPr>
          <w:lang w:val="fr-FR"/>
        </w:rPr>
        <w:fldChar w:fldCharType="begin"/>
      </w:r>
      <w:r w:rsidRPr="00B069E1">
        <w:rPr>
          <w:lang w:val="fr-FR"/>
        </w:rPr>
        <w:instrText xml:space="preserve"> SEQ level0 \*arabic </w:instrText>
      </w:r>
      <w:r w:rsidRPr="00B069E1">
        <w:rPr>
          <w:lang w:val="fr-FR"/>
        </w:rPr>
        <w:fldChar w:fldCharType="separate"/>
      </w:r>
      <w:r w:rsidR="00B069E1" w:rsidRPr="00B069E1">
        <w:rPr>
          <w:noProof/>
          <w:lang w:val="fr-FR"/>
        </w:rPr>
        <w:t>10</w:t>
      </w:r>
      <w:r w:rsidRPr="00B069E1">
        <w:rPr>
          <w:lang w:val="fr-FR"/>
        </w:rPr>
        <w:fldChar w:fldCharType="end"/>
      </w:r>
      <w:r w:rsidR="00E77CB3" w:rsidRPr="00B069E1">
        <w:rPr>
          <w:lang w:val="fr-FR"/>
        </w:rPr>
        <w:t>.  </w:t>
      </w:r>
      <w:r w:rsidR="00F13FFC" w:rsidRPr="00B069E1">
        <w:rPr>
          <w:lang w:val="fr-FR"/>
        </w:rPr>
        <w:t>Invoquant l</w:t>
      </w:r>
      <w:r w:rsidR="00B069E1" w:rsidRPr="00B069E1">
        <w:rPr>
          <w:lang w:val="fr-FR"/>
        </w:rPr>
        <w:t>’</w:t>
      </w:r>
      <w:r w:rsidR="00F13FFC" w:rsidRPr="00B069E1">
        <w:rPr>
          <w:lang w:val="fr-FR"/>
        </w:rPr>
        <w:t xml:space="preserve">article 6 </w:t>
      </w:r>
      <w:r w:rsidR="00A4300A" w:rsidRPr="00B069E1">
        <w:rPr>
          <w:lang w:val="fr-FR"/>
        </w:rPr>
        <w:t xml:space="preserve">§ 1 </w:t>
      </w:r>
      <w:r w:rsidR="00F13FFC" w:rsidRPr="00B069E1">
        <w:rPr>
          <w:lang w:val="fr-FR"/>
        </w:rPr>
        <w:t>de la Convention, les requérants se plaignent de la durée des procédures principales et de l</w:t>
      </w:r>
      <w:r w:rsidR="00B069E1" w:rsidRPr="00B069E1">
        <w:rPr>
          <w:lang w:val="fr-FR"/>
        </w:rPr>
        <w:t>’</w:t>
      </w:r>
      <w:r w:rsidR="00F13FFC" w:rsidRPr="00B069E1">
        <w:rPr>
          <w:lang w:val="fr-FR"/>
        </w:rPr>
        <w:t>insuffisance des indemnisations obtenues dans le cadre de la procédure « Pinto ».</w:t>
      </w:r>
    </w:p>
    <w:p w:rsidR="00473D7F" w:rsidRPr="00B069E1" w:rsidRDefault="00473D7F" w:rsidP="00B069E1">
      <w:pPr>
        <w:pStyle w:val="ECHRPara"/>
        <w:rPr>
          <w:lang w:val="fr-FR"/>
        </w:rPr>
      </w:pPr>
      <w:r w:rsidRPr="00B069E1">
        <w:rPr>
          <w:lang w:val="fr-FR"/>
        </w:rPr>
        <w:fldChar w:fldCharType="begin"/>
      </w:r>
      <w:r w:rsidRPr="00B069E1">
        <w:rPr>
          <w:lang w:val="fr-FR"/>
        </w:rPr>
        <w:instrText xml:space="preserve"> SEQ level0 \*arabic </w:instrText>
      </w:r>
      <w:r w:rsidRPr="00B069E1">
        <w:rPr>
          <w:lang w:val="fr-FR"/>
        </w:rPr>
        <w:fldChar w:fldCharType="separate"/>
      </w:r>
      <w:r w:rsidR="00B069E1" w:rsidRPr="00B069E1">
        <w:rPr>
          <w:noProof/>
          <w:lang w:val="fr-FR"/>
        </w:rPr>
        <w:t>11</w:t>
      </w:r>
      <w:r w:rsidRPr="00B069E1">
        <w:rPr>
          <w:lang w:val="fr-FR"/>
        </w:rPr>
        <w:fldChar w:fldCharType="end"/>
      </w:r>
      <w:r w:rsidRPr="00B069E1">
        <w:rPr>
          <w:lang w:val="fr-FR"/>
        </w:rPr>
        <w:t>.  L</w:t>
      </w:r>
      <w:r w:rsidR="00B069E1" w:rsidRPr="00B069E1">
        <w:rPr>
          <w:lang w:val="fr-FR"/>
        </w:rPr>
        <w:t>’</w:t>
      </w:r>
      <w:r w:rsidRPr="00B069E1">
        <w:rPr>
          <w:lang w:val="fr-FR"/>
        </w:rPr>
        <w:t xml:space="preserve">article 6 § 1 </w:t>
      </w:r>
      <w:r w:rsidR="00A4300A" w:rsidRPr="00B069E1">
        <w:rPr>
          <w:lang w:val="fr-FR"/>
        </w:rPr>
        <w:t xml:space="preserve">de la Convention </w:t>
      </w:r>
      <w:r w:rsidRPr="00B069E1">
        <w:rPr>
          <w:lang w:val="fr-FR"/>
        </w:rPr>
        <w:t>se lit ainsi</w:t>
      </w:r>
      <w:r w:rsidR="00A4300A" w:rsidRPr="00B069E1">
        <w:rPr>
          <w:lang w:val="fr-FR"/>
        </w:rPr>
        <w:t xml:space="preserve"> dans ses parties pertinentes en l</w:t>
      </w:r>
      <w:r w:rsidR="00B069E1" w:rsidRPr="00B069E1">
        <w:rPr>
          <w:lang w:val="fr-FR"/>
        </w:rPr>
        <w:t>’</w:t>
      </w:r>
      <w:r w:rsidR="00A4300A" w:rsidRPr="00B069E1">
        <w:rPr>
          <w:lang w:val="fr-FR"/>
        </w:rPr>
        <w:t>espèce</w:t>
      </w:r>
      <w:r w:rsidRPr="00B069E1">
        <w:rPr>
          <w:lang w:val="fr-FR"/>
        </w:rPr>
        <w:t> :</w:t>
      </w:r>
    </w:p>
    <w:p w:rsidR="00473D7F" w:rsidRPr="00B069E1" w:rsidRDefault="00473D7F" w:rsidP="00B069E1">
      <w:pPr>
        <w:pStyle w:val="ECHRParaQuote"/>
        <w:rPr>
          <w:lang w:val="fr-FR"/>
        </w:rPr>
      </w:pPr>
      <w:r w:rsidRPr="00B069E1">
        <w:rPr>
          <w:lang w:val="fr-FR"/>
        </w:rPr>
        <w:t>«</w:t>
      </w:r>
      <w:r w:rsidR="00E0725A" w:rsidRPr="00B069E1">
        <w:rPr>
          <w:lang w:val="fr-FR"/>
        </w:rPr>
        <w:t> </w:t>
      </w:r>
      <w:r w:rsidRPr="00B069E1">
        <w:rPr>
          <w:lang w:val="fr-FR"/>
        </w:rPr>
        <w:t>Toute personne a droit à ce que sa cause soit entendue (...) dans un délai raisonnable, par un tribunal (...), qui décidera (...) des contestations sur ses droits et obligations de caractère civil (...)</w:t>
      </w:r>
      <w:r w:rsidR="00E0725A" w:rsidRPr="00B069E1">
        <w:rPr>
          <w:lang w:val="fr-FR"/>
        </w:rPr>
        <w:t> </w:t>
      </w:r>
      <w:r w:rsidRPr="00B069E1">
        <w:rPr>
          <w:lang w:val="fr-FR"/>
        </w:rPr>
        <w:t>»</w:t>
      </w:r>
    </w:p>
    <w:p w:rsidR="00E77CB3" w:rsidRPr="00B069E1" w:rsidRDefault="00E77CB3" w:rsidP="00B069E1">
      <w:pPr>
        <w:pStyle w:val="ECHRHeading2"/>
        <w:rPr>
          <w:lang w:val="fr-FR"/>
        </w:rPr>
      </w:pPr>
      <w:r w:rsidRPr="00B069E1">
        <w:rPr>
          <w:lang w:val="fr-FR"/>
        </w:rPr>
        <w:t>A.  Sur la recevabilité</w:t>
      </w:r>
    </w:p>
    <w:p w:rsidR="00C34CF0" w:rsidRPr="00B069E1" w:rsidRDefault="00C44054" w:rsidP="00B069E1">
      <w:pPr>
        <w:pStyle w:val="ECHRPara"/>
        <w:rPr>
          <w:lang w:val="fr-FR"/>
        </w:rPr>
      </w:pPr>
      <w:r w:rsidRPr="00B069E1">
        <w:rPr>
          <w:lang w:val="fr-FR"/>
        </w:rPr>
        <w:fldChar w:fldCharType="begin"/>
      </w:r>
      <w:r w:rsidRPr="00B069E1">
        <w:rPr>
          <w:lang w:val="fr-FR"/>
        </w:rPr>
        <w:instrText xml:space="preserve"> SEQ level0 \*arabic </w:instrText>
      </w:r>
      <w:r w:rsidRPr="00B069E1">
        <w:rPr>
          <w:lang w:val="fr-FR"/>
        </w:rPr>
        <w:fldChar w:fldCharType="separate"/>
      </w:r>
      <w:r w:rsidR="00B069E1" w:rsidRPr="00B069E1">
        <w:rPr>
          <w:noProof/>
          <w:lang w:val="fr-FR"/>
        </w:rPr>
        <w:t>12</w:t>
      </w:r>
      <w:r w:rsidRPr="00B069E1">
        <w:rPr>
          <w:lang w:val="fr-FR"/>
        </w:rPr>
        <w:fldChar w:fldCharType="end"/>
      </w:r>
      <w:r w:rsidR="00E77CB3" w:rsidRPr="00B069E1">
        <w:rPr>
          <w:lang w:val="fr-FR"/>
        </w:rPr>
        <w:t>.  </w:t>
      </w:r>
      <w:r w:rsidR="00C34CF0" w:rsidRPr="00B069E1">
        <w:rPr>
          <w:lang w:val="fr-FR"/>
        </w:rPr>
        <w:t xml:space="preserve">Le Gouvernement </w:t>
      </w:r>
      <w:r w:rsidR="004A63DC" w:rsidRPr="00B069E1">
        <w:rPr>
          <w:lang w:val="fr-FR"/>
        </w:rPr>
        <w:t xml:space="preserve">soutient </w:t>
      </w:r>
      <w:r w:rsidR="00C34CF0" w:rsidRPr="00B069E1">
        <w:rPr>
          <w:lang w:val="fr-FR"/>
        </w:rPr>
        <w:t>que les requérants n</w:t>
      </w:r>
      <w:r w:rsidR="00B069E1" w:rsidRPr="00B069E1">
        <w:rPr>
          <w:lang w:val="fr-FR"/>
        </w:rPr>
        <w:t>’</w:t>
      </w:r>
      <w:r w:rsidR="00C34CF0" w:rsidRPr="00B069E1">
        <w:rPr>
          <w:lang w:val="fr-FR"/>
        </w:rPr>
        <w:t>ont subi aucun préjudice important au sens de l</w:t>
      </w:r>
      <w:r w:rsidR="00B069E1" w:rsidRPr="00B069E1">
        <w:rPr>
          <w:lang w:val="fr-FR"/>
        </w:rPr>
        <w:t>’</w:t>
      </w:r>
      <w:r w:rsidR="00C34CF0" w:rsidRPr="00B069E1">
        <w:rPr>
          <w:lang w:val="fr-FR"/>
        </w:rPr>
        <w:t xml:space="preserve">article 35 § 3 b) de la Convention </w:t>
      </w:r>
      <w:r w:rsidR="004A63DC" w:rsidRPr="00B069E1">
        <w:rPr>
          <w:lang w:val="fr-FR"/>
        </w:rPr>
        <w:t>puisque, selon lui,</w:t>
      </w:r>
      <w:r w:rsidR="00C34CF0" w:rsidRPr="00B069E1">
        <w:rPr>
          <w:lang w:val="fr-FR"/>
        </w:rPr>
        <w:t xml:space="preserve"> le</w:t>
      </w:r>
      <w:r w:rsidR="00FF0D61" w:rsidRPr="00B069E1">
        <w:rPr>
          <w:lang w:val="fr-FR"/>
        </w:rPr>
        <w:t>ur</w:t>
      </w:r>
      <w:r w:rsidR="00C34CF0" w:rsidRPr="00B069E1">
        <w:rPr>
          <w:lang w:val="fr-FR"/>
        </w:rPr>
        <w:t>s demandes ont été d</w:t>
      </w:r>
      <w:r w:rsidR="004A63DC" w:rsidRPr="00B069E1">
        <w:rPr>
          <w:lang w:val="fr-FR"/>
        </w:rPr>
        <w:t>û</w:t>
      </w:r>
      <w:r w:rsidR="00C34CF0" w:rsidRPr="00B069E1">
        <w:rPr>
          <w:lang w:val="fr-FR"/>
        </w:rPr>
        <w:t>ment examinées par les autorités internes et</w:t>
      </w:r>
      <w:r w:rsidR="004A63DC" w:rsidRPr="00B069E1">
        <w:rPr>
          <w:lang w:val="fr-FR"/>
        </w:rPr>
        <w:t xml:space="preserve"> qu</w:t>
      </w:r>
      <w:r w:rsidR="00B069E1" w:rsidRPr="00B069E1">
        <w:rPr>
          <w:lang w:val="fr-FR"/>
        </w:rPr>
        <w:t>’</w:t>
      </w:r>
      <w:r w:rsidR="00D95048" w:rsidRPr="00B069E1">
        <w:rPr>
          <w:lang w:val="fr-FR"/>
        </w:rPr>
        <w:t>elles</w:t>
      </w:r>
      <w:r w:rsidR="00C34CF0" w:rsidRPr="00B069E1">
        <w:rPr>
          <w:lang w:val="fr-FR"/>
        </w:rPr>
        <w:t xml:space="preserve"> étaient</w:t>
      </w:r>
      <w:r w:rsidR="004A63DC" w:rsidRPr="00B069E1">
        <w:rPr>
          <w:lang w:val="fr-FR"/>
        </w:rPr>
        <w:t xml:space="preserve"> en tout état de cause</w:t>
      </w:r>
      <w:r w:rsidR="00C34CF0" w:rsidRPr="00B069E1">
        <w:rPr>
          <w:lang w:val="fr-FR"/>
        </w:rPr>
        <w:t xml:space="preserve"> mal fondées.</w:t>
      </w:r>
    </w:p>
    <w:p w:rsidR="00C34CF0" w:rsidRPr="00B069E1" w:rsidRDefault="00C34CF0" w:rsidP="00B069E1">
      <w:pPr>
        <w:pStyle w:val="ECHRPara"/>
        <w:rPr>
          <w:lang w:val="fr-FR"/>
        </w:rPr>
      </w:pPr>
      <w:r w:rsidRPr="00B069E1">
        <w:rPr>
          <w:lang w:val="fr-FR"/>
        </w:rPr>
        <w:fldChar w:fldCharType="begin"/>
      </w:r>
      <w:r w:rsidRPr="00B069E1">
        <w:rPr>
          <w:lang w:val="fr-FR"/>
        </w:rPr>
        <w:instrText xml:space="preserve"> SEQ level0 \*arabic </w:instrText>
      </w:r>
      <w:r w:rsidRPr="00B069E1">
        <w:rPr>
          <w:lang w:val="fr-FR"/>
        </w:rPr>
        <w:fldChar w:fldCharType="separate"/>
      </w:r>
      <w:r w:rsidR="00B069E1" w:rsidRPr="00B069E1">
        <w:rPr>
          <w:noProof/>
          <w:lang w:val="fr-FR"/>
        </w:rPr>
        <w:t>13</w:t>
      </w:r>
      <w:r w:rsidRPr="00B069E1">
        <w:rPr>
          <w:lang w:val="fr-FR"/>
        </w:rPr>
        <w:fldChar w:fldCharType="end"/>
      </w:r>
      <w:r w:rsidRPr="00B069E1">
        <w:rPr>
          <w:lang w:val="fr-FR"/>
        </w:rPr>
        <w:t>.  Les requérants contestent cette thèse.</w:t>
      </w:r>
    </w:p>
    <w:p w:rsidR="00C34CF0" w:rsidRPr="00B069E1" w:rsidRDefault="00C34CF0" w:rsidP="00B069E1">
      <w:pPr>
        <w:pStyle w:val="ECHRPara"/>
        <w:rPr>
          <w:i/>
          <w:lang w:val="fr-FR"/>
        </w:rPr>
      </w:pPr>
      <w:r w:rsidRPr="00B069E1">
        <w:rPr>
          <w:lang w:val="fr-FR"/>
        </w:rPr>
        <w:lastRenderedPageBreak/>
        <w:fldChar w:fldCharType="begin"/>
      </w:r>
      <w:r w:rsidRPr="00B069E1">
        <w:rPr>
          <w:lang w:val="fr-FR"/>
        </w:rPr>
        <w:instrText xml:space="preserve"> SEQ level0 \*arabic </w:instrText>
      </w:r>
      <w:r w:rsidRPr="00B069E1">
        <w:rPr>
          <w:lang w:val="fr-FR"/>
        </w:rPr>
        <w:fldChar w:fldCharType="separate"/>
      </w:r>
      <w:r w:rsidR="00B069E1" w:rsidRPr="00B069E1">
        <w:rPr>
          <w:noProof/>
          <w:lang w:val="fr-FR"/>
        </w:rPr>
        <w:t>14</w:t>
      </w:r>
      <w:r w:rsidRPr="00B069E1">
        <w:rPr>
          <w:lang w:val="fr-FR"/>
        </w:rPr>
        <w:fldChar w:fldCharType="end"/>
      </w:r>
      <w:r w:rsidRPr="00B069E1">
        <w:rPr>
          <w:lang w:val="fr-FR"/>
        </w:rPr>
        <w:t>.  La Cour rappelle qu</w:t>
      </w:r>
      <w:r w:rsidR="004A63DC" w:rsidRPr="00B069E1">
        <w:rPr>
          <w:lang w:val="fr-FR"/>
        </w:rPr>
        <w:t xml:space="preserve">e, </w:t>
      </w:r>
      <w:r w:rsidRPr="00B069E1">
        <w:rPr>
          <w:lang w:val="fr-FR"/>
        </w:rPr>
        <w:t>afin de vérifier si la violation d</w:t>
      </w:r>
      <w:r w:rsidR="00B069E1" w:rsidRPr="00B069E1">
        <w:rPr>
          <w:lang w:val="fr-FR"/>
        </w:rPr>
        <w:t>’</w:t>
      </w:r>
      <w:r w:rsidRPr="00B069E1">
        <w:rPr>
          <w:lang w:val="fr-FR"/>
        </w:rPr>
        <w:t>un droit atteint le seuil minimum de gravité, il y a lieu de prendre en compte</w:t>
      </w:r>
      <w:r w:rsidR="00212BE5" w:rsidRPr="00B069E1">
        <w:rPr>
          <w:lang w:val="fr-FR"/>
        </w:rPr>
        <w:t>,</w:t>
      </w:r>
      <w:r w:rsidRPr="00B069E1">
        <w:rPr>
          <w:lang w:val="fr-FR"/>
        </w:rPr>
        <w:t xml:space="preserve"> notamment</w:t>
      </w:r>
      <w:r w:rsidR="00212BE5" w:rsidRPr="00B069E1">
        <w:rPr>
          <w:lang w:val="fr-FR"/>
        </w:rPr>
        <w:t>,</w:t>
      </w:r>
      <w:r w:rsidRPr="00B069E1">
        <w:rPr>
          <w:lang w:val="fr-FR"/>
        </w:rPr>
        <w:t xml:space="preserve"> les éléments suivants</w:t>
      </w:r>
      <w:r w:rsidR="00544C1C" w:rsidRPr="00B069E1">
        <w:rPr>
          <w:lang w:val="fr-FR"/>
        </w:rPr>
        <w:t> :</w:t>
      </w:r>
      <w:r w:rsidRPr="00B069E1">
        <w:rPr>
          <w:lang w:val="fr-FR"/>
        </w:rPr>
        <w:t xml:space="preserve"> la nature du droit prétendument violé, la gravité de l</w:t>
      </w:r>
      <w:r w:rsidR="00B069E1" w:rsidRPr="00B069E1">
        <w:rPr>
          <w:lang w:val="fr-FR"/>
        </w:rPr>
        <w:t>’</w:t>
      </w:r>
      <w:r w:rsidRPr="00B069E1">
        <w:rPr>
          <w:lang w:val="fr-FR"/>
        </w:rPr>
        <w:t>incidence de la violation alléguée dans l</w:t>
      </w:r>
      <w:r w:rsidR="00B069E1" w:rsidRPr="00B069E1">
        <w:rPr>
          <w:lang w:val="fr-FR"/>
        </w:rPr>
        <w:t>’</w:t>
      </w:r>
      <w:r w:rsidRPr="00B069E1">
        <w:rPr>
          <w:lang w:val="fr-FR"/>
        </w:rPr>
        <w:t>exercice d</w:t>
      </w:r>
      <w:r w:rsidR="00B069E1" w:rsidRPr="00B069E1">
        <w:rPr>
          <w:lang w:val="fr-FR"/>
        </w:rPr>
        <w:t>’</w:t>
      </w:r>
      <w:r w:rsidRPr="00B069E1">
        <w:rPr>
          <w:lang w:val="fr-FR"/>
        </w:rPr>
        <w:t>un droit et/ou les conséquences éventuelles de la violation sur la situation personnelle du requérant. Dans l</w:t>
      </w:r>
      <w:r w:rsidR="00B069E1" w:rsidRPr="00B069E1">
        <w:rPr>
          <w:lang w:val="fr-FR"/>
        </w:rPr>
        <w:t>’</w:t>
      </w:r>
      <w:r w:rsidRPr="00B069E1">
        <w:rPr>
          <w:lang w:val="fr-FR"/>
        </w:rPr>
        <w:t>évaluation de ces conséquences, la Cour examinera, en particulier, l</w:t>
      </w:r>
      <w:r w:rsidR="00B069E1" w:rsidRPr="00B069E1">
        <w:rPr>
          <w:lang w:val="fr-FR"/>
        </w:rPr>
        <w:t>’</w:t>
      </w:r>
      <w:r w:rsidRPr="00B069E1">
        <w:rPr>
          <w:lang w:val="fr-FR"/>
        </w:rPr>
        <w:t>enjeu de la procédure nationale ou son issue (</w:t>
      </w:r>
      <w:r w:rsidRPr="00B069E1">
        <w:rPr>
          <w:i/>
          <w:lang w:val="fr-FR"/>
        </w:rPr>
        <w:t>Giusti c. Italie</w:t>
      </w:r>
      <w:r w:rsidRPr="00B069E1">
        <w:rPr>
          <w:lang w:val="fr-FR"/>
        </w:rPr>
        <w:t>, n</w:t>
      </w:r>
      <w:r w:rsidRPr="00B069E1">
        <w:rPr>
          <w:vertAlign w:val="superscript"/>
          <w:lang w:val="fr-FR"/>
        </w:rPr>
        <w:t>o</w:t>
      </w:r>
      <w:r w:rsidR="006C1D0C" w:rsidRPr="00B069E1">
        <w:rPr>
          <w:lang w:val="fr-FR"/>
        </w:rPr>
        <w:t> </w:t>
      </w:r>
      <w:r w:rsidRPr="00B069E1">
        <w:rPr>
          <w:lang w:val="fr-FR"/>
        </w:rPr>
        <w:t>13175/03</w:t>
      </w:r>
      <w:r w:rsidRPr="00B069E1">
        <w:rPr>
          <w:snapToGrid w:val="0"/>
          <w:szCs w:val="24"/>
          <w:lang w:val="fr-FR"/>
        </w:rPr>
        <w:t>, § 34, 1</w:t>
      </w:r>
      <w:r w:rsidRPr="00B069E1">
        <w:rPr>
          <w:szCs w:val="24"/>
          <w:lang w:val="fr-FR"/>
        </w:rPr>
        <w:t>8</w:t>
      </w:r>
      <w:r w:rsidRPr="00B069E1">
        <w:rPr>
          <w:snapToGrid w:val="0"/>
          <w:szCs w:val="24"/>
          <w:lang w:val="fr-FR"/>
        </w:rPr>
        <w:t xml:space="preserve"> </w:t>
      </w:r>
      <w:r w:rsidRPr="00B069E1">
        <w:rPr>
          <w:szCs w:val="24"/>
          <w:lang w:val="fr-FR"/>
        </w:rPr>
        <w:t>octobre</w:t>
      </w:r>
      <w:r w:rsidRPr="00B069E1">
        <w:rPr>
          <w:snapToGrid w:val="0"/>
          <w:szCs w:val="24"/>
          <w:lang w:val="fr-FR"/>
        </w:rPr>
        <w:t xml:space="preserve"> 2011, </w:t>
      </w:r>
      <w:r w:rsidR="004A63DC" w:rsidRPr="00B069E1">
        <w:rPr>
          <w:snapToGrid w:val="0"/>
          <w:szCs w:val="24"/>
          <w:lang w:val="fr-FR"/>
        </w:rPr>
        <w:t xml:space="preserve">et </w:t>
      </w:r>
      <w:r w:rsidRPr="00B069E1">
        <w:rPr>
          <w:i/>
          <w:lang w:val="fr-FR"/>
        </w:rPr>
        <w:t>El Kaada c. Allemagne</w:t>
      </w:r>
      <w:r w:rsidRPr="00B069E1">
        <w:rPr>
          <w:snapToGrid w:val="0"/>
          <w:lang w:val="fr-FR"/>
        </w:rPr>
        <w:t xml:space="preserve">, </w:t>
      </w:r>
      <w:r w:rsidRPr="00B069E1">
        <w:rPr>
          <w:lang w:val="fr-FR"/>
        </w:rPr>
        <w:t>n</w:t>
      </w:r>
      <w:r w:rsidRPr="00B069E1">
        <w:rPr>
          <w:vertAlign w:val="superscript"/>
          <w:lang w:val="fr-FR"/>
        </w:rPr>
        <w:t>o</w:t>
      </w:r>
      <w:r w:rsidRPr="00B069E1">
        <w:rPr>
          <w:lang w:val="fr-FR"/>
        </w:rPr>
        <w:t xml:space="preserve"> 2130/10</w:t>
      </w:r>
      <w:r w:rsidR="00B069E1" w:rsidRPr="00B069E1">
        <w:rPr>
          <w:snapToGrid w:val="0"/>
          <w:lang w:val="fr-FR"/>
        </w:rPr>
        <w:t>, § </w:t>
      </w:r>
      <w:r w:rsidRPr="00B069E1">
        <w:rPr>
          <w:snapToGrid w:val="0"/>
          <w:lang w:val="fr-FR"/>
        </w:rPr>
        <w:t xml:space="preserve">41, 12 </w:t>
      </w:r>
      <w:r w:rsidRPr="00B069E1">
        <w:rPr>
          <w:lang w:val="fr-FR"/>
        </w:rPr>
        <w:t>novembre</w:t>
      </w:r>
      <w:r w:rsidRPr="00B069E1">
        <w:rPr>
          <w:snapToGrid w:val="0"/>
          <w:lang w:val="fr-FR"/>
        </w:rPr>
        <w:t xml:space="preserve"> 2015</w:t>
      </w:r>
      <w:r w:rsidRPr="00B069E1">
        <w:rPr>
          <w:snapToGrid w:val="0"/>
          <w:szCs w:val="24"/>
          <w:lang w:val="fr-FR"/>
        </w:rPr>
        <w:t>)</w:t>
      </w:r>
      <w:r w:rsidRPr="00B069E1">
        <w:rPr>
          <w:lang w:val="fr-FR"/>
        </w:rPr>
        <w:t>.</w:t>
      </w:r>
    </w:p>
    <w:p w:rsidR="00272D89" w:rsidRPr="00B069E1" w:rsidRDefault="00C34CF0" w:rsidP="00B069E1">
      <w:pPr>
        <w:pStyle w:val="ECHRPara"/>
        <w:rPr>
          <w:lang w:val="fr-FR"/>
        </w:rPr>
      </w:pPr>
      <w:r w:rsidRPr="00B069E1">
        <w:rPr>
          <w:lang w:val="fr-FR"/>
        </w:rPr>
        <w:fldChar w:fldCharType="begin"/>
      </w:r>
      <w:r w:rsidRPr="00B069E1">
        <w:rPr>
          <w:lang w:val="fr-FR"/>
        </w:rPr>
        <w:instrText xml:space="preserve"> SEQ level0 \*arabic </w:instrText>
      </w:r>
      <w:r w:rsidRPr="00B069E1">
        <w:rPr>
          <w:lang w:val="fr-FR"/>
        </w:rPr>
        <w:fldChar w:fldCharType="separate"/>
      </w:r>
      <w:r w:rsidR="00B069E1" w:rsidRPr="00B069E1">
        <w:rPr>
          <w:noProof/>
          <w:lang w:val="fr-FR"/>
        </w:rPr>
        <w:t>15</w:t>
      </w:r>
      <w:r w:rsidRPr="00B069E1">
        <w:rPr>
          <w:lang w:val="fr-FR"/>
        </w:rPr>
        <w:fldChar w:fldCharType="end"/>
      </w:r>
      <w:r w:rsidRPr="00B069E1">
        <w:rPr>
          <w:lang w:val="fr-FR"/>
        </w:rPr>
        <w:t>.  </w:t>
      </w:r>
      <w:r w:rsidR="00257996" w:rsidRPr="00B069E1">
        <w:rPr>
          <w:lang w:val="fr-FR"/>
        </w:rPr>
        <w:t>En l</w:t>
      </w:r>
      <w:r w:rsidR="00B069E1" w:rsidRPr="00B069E1">
        <w:rPr>
          <w:lang w:val="fr-FR"/>
        </w:rPr>
        <w:t>’</w:t>
      </w:r>
      <w:r w:rsidR="00257996" w:rsidRPr="00B069E1">
        <w:rPr>
          <w:lang w:val="fr-FR"/>
        </w:rPr>
        <w:t>espèce, l</w:t>
      </w:r>
      <w:r w:rsidRPr="00B069E1">
        <w:rPr>
          <w:lang w:val="fr-FR"/>
        </w:rPr>
        <w:t xml:space="preserve">a Cour </w:t>
      </w:r>
      <w:r w:rsidR="00D95048" w:rsidRPr="00B069E1">
        <w:rPr>
          <w:lang w:val="fr-FR"/>
        </w:rPr>
        <w:t xml:space="preserve">note </w:t>
      </w:r>
      <w:r w:rsidRPr="00B069E1">
        <w:rPr>
          <w:lang w:val="fr-FR"/>
        </w:rPr>
        <w:t>qu</w:t>
      </w:r>
      <w:r w:rsidR="004A63DC" w:rsidRPr="00B069E1">
        <w:rPr>
          <w:lang w:val="fr-FR"/>
        </w:rPr>
        <w:t>e</w:t>
      </w:r>
      <w:r w:rsidRPr="00B069E1">
        <w:rPr>
          <w:lang w:val="fr-FR"/>
        </w:rPr>
        <w:t xml:space="preserve"> les requérants se plaignaient de l</w:t>
      </w:r>
      <w:r w:rsidR="001B48EE" w:rsidRPr="00B069E1">
        <w:rPr>
          <w:lang w:val="fr-FR"/>
        </w:rPr>
        <w:t>a durée d</w:t>
      </w:r>
      <w:r w:rsidR="00D95048" w:rsidRPr="00B069E1">
        <w:rPr>
          <w:lang w:val="fr-FR"/>
        </w:rPr>
        <w:t>e la</w:t>
      </w:r>
      <w:r w:rsidR="001B48EE" w:rsidRPr="00B069E1">
        <w:rPr>
          <w:lang w:val="fr-FR"/>
        </w:rPr>
        <w:t xml:space="preserve"> procédure civile</w:t>
      </w:r>
      <w:r w:rsidRPr="00B069E1">
        <w:rPr>
          <w:lang w:val="fr-FR"/>
        </w:rPr>
        <w:t>. À l</w:t>
      </w:r>
      <w:r w:rsidR="00B069E1" w:rsidRPr="00B069E1">
        <w:rPr>
          <w:lang w:val="fr-FR"/>
        </w:rPr>
        <w:t>’</w:t>
      </w:r>
      <w:r w:rsidRPr="00B069E1">
        <w:rPr>
          <w:lang w:val="fr-FR"/>
        </w:rPr>
        <w:t xml:space="preserve">évidence, une durée </w:t>
      </w:r>
      <w:r w:rsidR="00D95048" w:rsidRPr="00B069E1">
        <w:rPr>
          <w:lang w:val="fr-FR"/>
        </w:rPr>
        <w:t xml:space="preserve">de procédure de vingt-sept ans et quatre mois environ, pour deux degrés de juridiction, </w:t>
      </w:r>
      <w:r w:rsidRPr="00B069E1">
        <w:rPr>
          <w:lang w:val="fr-FR"/>
        </w:rPr>
        <w:t xml:space="preserve">ne saurait être compatible avec le principe du délai raisonnable </w:t>
      </w:r>
      <w:r w:rsidR="00D95048" w:rsidRPr="00B069E1">
        <w:rPr>
          <w:lang w:val="fr-FR"/>
        </w:rPr>
        <w:t xml:space="preserve">posé </w:t>
      </w:r>
      <w:r w:rsidRPr="00B069E1">
        <w:rPr>
          <w:lang w:val="fr-FR"/>
        </w:rPr>
        <w:t>par l</w:t>
      </w:r>
      <w:r w:rsidR="00B069E1" w:rsidRPr="00B069E1">
        <w:rPr>
          <w:lang w:val="fr-FR"/>
        </w:rPr>
        <w:t>’</w:t>
      </w:r>
      <w:r w:rsidRPr="00B069E1">
        <w:rPr>
          <w:lang w:val="fr-FR"/>
        </w:rPr>
        <w:t xml:space="preserve">article 6 § 1 de la Convention. </w:t>
      </w:r>
      <w:r w:rsidR="00D95048" w:rsidRPr="00B069E1">
        <w:rPr>
          <w:lang w:val="fr-FR"/>
        </w:rPr>
        <w:t>Dans l</w:t>
      </w:r>
      <w:r w:rsidR="00B069E1" w:rsidRPr="00B069E1">
        <w:rPr>
          <w:lang w:val="fr-FR"/>
        </w:rPr>
        <w:t>’</w:t>
      </w:r>
      <w:r w:rsidR="00D95048" w:rsidRPr="00B069E1">
        <w:rPr>
          <w:lang w:val="fr-FR"/>
        </w:rPr>
        <w:t>évaluation de</w:t>
      </w:r>
      <w:r w:rsidRPr="00B069E1">
        <w:rPr>
          <w:lang w:val="fr-FR"/>
        </w:rPr>
        <w:t xml:space="preserve"> la gravité des conséquences de ce type d</w:t>
      </w:r>
      <w:r w:rsidR="00B069E1" w:rsidRPr="00B069E1">
        <w:rPr>
          <w:lang w:val="fr-FR"/>
        </w:rPr>
        <w:t>’</w:t>
      </w:r>
      <w:r w:rsidRPr="00B069E1">
        <w:rPr>
          <w:lang w:val="fr-FR"/>
        </w:rPr>
        <w:t>allégation, l</w:t>
      </w:r>
      <w:r w:rsidR="00B069E1" w:rsidRPr="00B069E1">
        <w:rPr>
          <w:lang w:val="fr-FR"/>
        </w:rPr>
        <w:t>’</w:t>
      </w:r>
      <w:r w:rsidRPr="00B069E1">
        <w:rPr>
          <w:lang w:val="fr-FR"/>
        </w:rPr>
        <w:t>enjeu de l</w:t>
      </w:r>
      <w:r w:rsidR="00B069E1" w:rsidRPr="00B069E1">
        <w:rPr>
          <w:lang w:val="fr-FR"/>
        </w:rPr>
        <w:t>’</w:t>
      </w:r>
      <w:r w:rsidRPr="00B069E1">
        <w:rPr>
          <w:lang w:val="fr-FR"/>
        </w:rPr>
        <w:t xml:space="preserve">affaire devant les juges nationaux ne </w:t>
      </w:r>
      <w:r w:rsidR="00D95048" w:rsidRPr="00B069E1">
        <w:rPr>
          <w:lang w:val="fr-FR"/>
        </w:rPr>
        <w:t xml:space="preserve">peut </w:t>
      </w:r>
      <w:r w:rsidRPr="00B069E1">
        <w:rPr>
          <w:lang w:val="fr-FR"/>
        </w:rPr>
        <w:t>être déterminant que dans l</w:t>
      </w:r>
      <w:r w:rsidR="00B069E1" w:rsidRPr="00B069E1">
        <w:rPr>
          <w:lang w:val="fr-FR"/>
        </w:rPr>
        <w:t>’</w:t>
      </w:r>
      <w:r w:rsidRPr="00B069E1">
        <w:rPr>
          <w:lang w:val="fr-FR"/>
        </w:rPr>
        <w:t xml:space="preserve">hypothèse où </w:t>
      </w:r>
      <w:r w:rsidR="00E24396" w:rsidRPr="00B069E1">
        <w:rPr>
          <w:lang w:val="fr-FR"/>
        </w:rPr>
        <w:t>l</w:t>
      </w:r>
      <w:r w:rsidR="0013304F" w:rsidRPr="00B069E1">
        <w:rPr>
          <w:lang w:val="fr-FR"/>
        </w:rPr>
        <w:t>a valeur</w:t>
      </w:r>
      <w:r w:rsidRPr="00B069E1">
        <w:rPr>
          <w:lang w:val="fr-FR"/>
        </w:rPr>
        <w:t xml:space="preserve"> </w:t>
      </w:r>
      <w:r w:rsidR="00E24396" w:rsidRPr="00B069E1">
        <w:rPr>
          <w:lang w:val="fr-FR"/>
        </w:rPr>
        <w:t xml:space="preserve">de cet enjeu </w:t>
      </w:r>
      <w:r w:rsidRPr="00B069E1">
        <w:rPr>
          <w:lang w:val="fr-FR"/>
        </w:rPr>
        <w:t>serait faible ou dérisoire (</w:t>
      </w:r>
      <w:r w:rsidRPr="00B069E1">
        <w:rPr>
          <w:i/>
          <w:lang w:val="fr-FR"/>
        </w:rPr>
        <w:t>Giusti</w:t>
      </w:r>
      <w:r w:rsidRPr="00B069E1">
        <w:rPr>
          <w:lang w:val="fr-FR"/>
        </w:rPr>
        <w:t>, préc</w:t>
      </w:r>
      <w:r w:rsidR="004A63DC" w:rsidRPr="00B069E1">
        <w:rPr>
          <w:lang w:val="fr-FR"/>
        </w:rPr>
        <w:t>ité</w:t>
      </w:r>
      <w:r w:rsidRPr="00B069E1">
        <w:rPr>
          <w:snapToGrid w:val="0"/>
          <w:szCs w:val="24"/>
          <w:lang w:val="fr-FR"/>
        </w:rPr>
        <w:t>, § 3</w:t>
      </w:r>
      <w:r w:rsidR="004A63DC" w:rsidRPr="00B069E1">
        <w:rPr>
          <w:snapToGrid w:val="0"/>
          <w:szCs w:val="24"/>
          <w:lang w:val="fr-FR"/>
        </w:rPr>
        <w:t>5</w:t>
      </w:r>
      <w:r w:rsidRPr="00B069E1">
        <w:rPr>
          <w:lang w:val="fr-FR"/>
        </w:rPr>
        <w:t>)</w:t>
      </w:r>
      <w:r w:rsidR="004A63DC" w:rsidRPr="00B069E1">
        <w:rPr>
          <w:lang w:val="fr-FR"/>
        </w:rPr>
        <w:t>.</w:t>
      </w:r>
      <w:r w:rsidRPr="00B069E1">
        <w:rPr>
          <w:lang w:val="fr-FR"/>
        </w:rPr>
        <w:t xml:space="preserve"> </w:t>
      </w:r>
      <w:r w:rsidR="00D95048" w:rsidRPr="00B069E1">
        <w:rPr>
          <w:lang w:val="fr-FR"/>
        </w:rPr>
        <w:t>La Cour</w:t>
      </w:r>
      <w:r w:rsidR="004A63DC" w:rsidRPr="00B069E1">
        <w:rPr>
          <w:lang w:val="fr-FR"/>
        </w:rPr>
        <w:t xml:space="preserve"> estime que </w:t>
      </w:r>
      <w:r w:rsidR="00D95048" w:rsidRPr="00B069E1">
        <w:rPr>
          <w:lang w:val="fr-FR"/>
        </w:rPr>
        <w:t>cela</w:t>
      </w:r>
      <w:r w:rsidR="004A63DC" w:rsidRPr="00B069E1">
        <w:rPr>
          <w:lang w:val="fr-FR"/>
        </w:rPr>
        <w:t xml:space="preserve"> </w:t>
      </w:r>
      <w:r w:rsidRPr="00B069E1">
        <w:rPr>
          <w:lang w:val="fr-FR"/>
        </w:rPr>
        <w:t>n</w:t>
      </w:r>
      <w:r w:rsidR="00B069E1" w:rsidRPr="00B069E1">
        <w:rPr>
          <w:lang w:val="fr-FR"/>
        </w:rPr>
        <w:t>’</w:t>
      </w:r>
      <w:r w:rsidRPr="00B069E1">
        <w:rPr>
          <w:lang w:val="fr-FR"/>
        </w:rPr>
        <w:t>est pas le cas en l</w:t>
      </w:r>
      <w:r w:rsidR="00B069E1" w:rsidRPr="00B069E1">
        <w:rPr>
          <w:lang w:val="fr-FR"/>
        </w:rPr>
        <w:t>’</w:t>
      </w:r>
      <w:r w:rsidR="00D95048" w:rsidRPr="00B069E1">
        <w:rPr>
          <w:lang w:val="fr-FR"/>
        </w:rPr>
        <w:t>espèce</w:t>
      </w:r>
      <w:r w:rsidRPr="00B069E1">
        <w:rPr>
          <w:lang w:val="fr-FR"/>
        </w:rPr>
        <w:t xml:space="preserve"> </w:t>
      </w:r>
      <w:r w:rsidR="00F606BF" w:rsidRPr="00B069E1">
        <w:rPr>
          <w:lang w:val="fr-FR"/>
        </w:rPr>
        <w:t>puisque la présente cause concerne</w:t>
      </w:r>
      <w:r w:rsidR="001B48EE" w:rsidRPr="00B069E1">
        <w:rPr>
          <w:lang w:val="fr-FR"/>
        </w:rPr>
        <w:t xml:space="preserve"> </w:t>
      </w:r>
      <w:r w:rsidR="00FF0D61" w:rsidRPr="00B069E1">
        <w:rPr>
          <w:lang w:val="fr-FR"/>
        </w:rPr>
        <w:t>le droit du</w:t>
      </w:r>
      <w:r w:rsidR="001B48EE" w:rsidRPr="00B069E1">
        <w:rPr>
          <w:lang w:val="fr-FR"/>
        </w:rPr>
        <w:t xml:space="preserve"> travail </w:t>
      </w:r>
      <w:r w:rsidR="00FF0D61" w:rsidRPr="00B069E1">
        <w:rPr>
          <w:lang w:val="fr-FR"/>
        </w:rPr>
        <w:t>et</w:t>
      </w:r>
      <w:r w:rsidR="00F606BF" w:rsidRPr="00B069E1">
        <w:rPr>
          <w:lang w:val="fr-FR"/>
        </w:rPr>
        <w:t>,</w:t>
      </w:r>
      <w:r w:rsidR="00FF0D61" w:rsidRPr="00B069E1">
        <w:rPr>
          <w:lang w:val="fr-FR"/>
        </w:rPr>
        <w:t xml:space="preserve"> en particulier</w:t>
      </w:r>
      <w:r w:rsidR="00F606BF" w:rsidRPr="00B069E1">
        <w:rPr>
          <w:lang w:val="fr-FR"/>
        </w:rPr>
        <w:t xml:space="preserve">, </w:t>
      </w:r>
      <w:r w:rsidR="001B48EE" w:rsidRPr="00B069E1">
        <w:rPr>
          <w:lang w:val="fr-FR"/>
        </w:rPr>
        <w:t>la</w:t>
      </w:r>
      <w:r w:rsidRPr="00B069E1">
        <w:rPr>
          <w:lang w:val="fr-FR"/>
        </w:rPr>
        <w:t xml:space="preserve"> contestation </w:t>
      </w:r>
      <w:r w:rsidR="00F606BF" w:rsidRPr="00B069E1">
        <w:rPr>
          <w:lang w:val="fr-FR"/>
        </w:rPr>
        <w:t xml:space="preserve">par les requérants de leur </w:t>
      </w:r>
      <w:r w:rsidRPr="00B069E1">
        <w:rPr>
          <w:lang w:val="fr-FR"/>
        </w:rPr>
        <w:t xml:space="preserve">classement dans une </w:t>
      </w:r>
      <w:r w:rsidR="00F606BF" w:rsidRPr="00B069E1">
        <w:rPr>
          <w:lang w:val="fr-FR"/>
        </w:rPr>
        <w:t xml:space="preserve">certaine </w:t>
      </w:r>
      <w:r w:rsidRPr="00B069E1">
        <w:rPr>
          <w:lang w:val="fr-FR"/>
        </w:rPr>
        <w:t>catégorie professionnelle</w:t>
      </w:r>
      <w:r w:rsidR="001B48EE" w:rsidRPr="00B069E1">
        <w:rPr>
          <w:lang w:val="fr-FR"/>
        </w:rPr>
        <w:t xml:space="preserve"> (paragraphe </w:t>
      </w:r>
      <w:r w:rsidR="0037148D" w:rsidRPr="00B069E1">
        <w:rPr>
          <w:lang w:val="fr-FR"/>
        </w:rPr>
        <w:t>4</w:t>
      </w:r>
      <w:r w:rsidR="001B48EE" w:rsidRPr="00B069E1">
        <w:rPr>
          <w:lang w:val="fr-FR"/>
        </w:rPr>
        <w:t xml:space="preserve"> ci</w:t>
      </w:r>
      <w:r w:rsidR="00F606BF" w:rsidRPr="00B069E1">
        <w:rPr>
          <w:lang w:val="fr-FR"/>
        </w:rPr>
        <w:noBreakHyphen/>
      </w:r>
      <w:r w:rsidR="001B48EE" w:rsidRPr="00B069E1">
        <w:rPr>
          <w:lang w:val="fr-FR"/>
        </w:rPr>
        <w:t>dessus)</w:t>
      </w:r>
      <w:r w:rsidRPr="00B069E1">
        <w:rPr>
          <w:lang w:val="fr-FR"/>
        </w:rPr>
        <w:t>.</w:t>
      </w:r>
    </w:p>
    <w:p w:rsidR="00C34CF0" w:rsidRPr="00B069E1" w:rsidRDefault="0041362C" w:rsidP="00B069E1">
      <w:pPr>
        <w:pStyle w:val="ECHRPara"/>
        <w:rPr>
          <w:i/>
          <w:lang w:val="fr-FR"/>
        </w:rPr>
      </w:pPr>
      <w:r w:rsidRPr="00B069E1">
        <w:rPr>
          <w:lang w:val="fr-FR"/>
        </w:rPr>
        <w:fldChar w:fldCharType="begin"/>
      </w:r>
      <w:r w:rsidRPr="00B069E1">
        <w:rPr>
          <w:lang w:val="fr-FR"/>
        </w:rPr>
        <w:instrText xml:space="preserve"> SEQ level0 \*arabic </w:instrText>
      </w:r>
      <w:r w:rsidRPr="00B069E1">
        <w:rPr>
          <w:lang w:val="fr-FR"/>
        </w:rPr>
        <w:fldChar w:fldCharType="separate"/>
      </w:r>
      <w:r w:rsidR="00B069E1" w:rsidRPr="00B069E1">
        <w:rPr>
          <w:noProof/>
          <w:lang w:val="fr-FR"/>
        </w:rPr>
        <w:t>16</w:t>
      </w:r>
      <w:r w:rsidRPr="00B069E1">
        <w:rPr>
          <w:lang w:val="fr-FR"/>
        </w:rPr>
        <w:fldChar w:fldCharType="end"/>
      </w:r>
      <w:r w:rsidRPr="00B069E1">
        <w:rPr>
          <w:lang w:val="fr-FR"/>
        </w:rPr>
        <w:t>.  </w:t>
      </w:r>
      <w:r w:rsidR="0013304F" w:rsidRPr="00B069E1">
        <w:rPr>
          <w:lang w:val="fr-FR"/>
        </w:rPr>
        <w:t>Qu</w:t>
      </w:r>
      <w:r w:rsidR="00472DEE" w:rsidRPr="00B069E1">
        <w:rPr>
          <w:lang w:val="fr-FR"/>
        </w:rPr>
        <w:t xml:space="preserve">ant </w:t>
      </w:r>
      <w:r w:rsidR="00D95048" w:rsidRPr="00B069E1">
        <w:rPr>
          <w:lang w:val="fr-FR"/>
        </w:rPr>
        <w:t>à l</w:t>
      </w:r>
      <w:r w:rsidR="00B069E1" w:rsidRPr="00B069E1">
        <w:rPr>
          <w:lang w:val="fr-FR"/>
        </w:rPr>
        <w:t>’</w:t>
      </w:r>
      <w:r w:rsidR="00D95048" w:rsidRPr="00B069E1">
        <w:rPr>
          <w:lang w:val="fr-FR"/>
        </w:rPr>
        <w:t>affirmation du Gouvernement selon laquelle l</w:t>
      </w:r>
      <w:r w:rsidR="00C34CF0" w:rsidRPr="00B069E1">
        <w:rPr>
          <w:lang w:val="fr-FR"/>
        </w:rPr>
        <w:t>es demandes</w:t>
      </w:r>
      <w:r w:rsidR="005D4655" w:rsidRPr="00B069E1">
        <w:rPr>
          <w:lang w:val="fr-FR"/>
        </w:rPr>
        <w:t xml:space="preserve"> introduites devant les juridictions nationale</w:t>
      </w:r>
      <w:r w:rsidR="00F606BF" w:rsidRPr="00B069E1">
        <w:rPr>
          <w:lang w:val="fr-FR"/>
        </w:rPr>
        <w:t>s</w:t>
      </w:r>
      <w:r w:rsidR="00D95048" w:rsidRPr="00B069E1">
        <w:rPr>
          <w:lang w:val="fr-FR"/>
        </w:rPr>
        <w:t xml:space="preserve"> étaient mal fondées</w:t>
      </w:r>
      <w:r w:rsidR="00C34CF0" w:rsidRPr="00B069E1">
        <w:rPr>
          <w:lang w:val="fr-FR"/>
        </w:rPr>
        <w:t xml:space="preserve">, la Cour rappelle que </w:t>
      </w:r>
      <w:r w:rsidR="002B2E31" w:rsidRPr="00B069E1">
        <w:rPr>
          <w:lang w:val="fr-FR"/>
        </w:rPr>
        <w:t>la reconnaissance</w:t>
      </w:r>
      <w:r w:rsidR="00C34CF0" w:rsidRPr="00B069E1">
        <w:rPr>
          <w:lang w:val="fr-FR"/>
        </w:rPr>
        <w:t xml:space="preserve"> du droit à </w:t>
      </w:r>
      <w:r w:rsidR="00FF0D61" w:rsidRPr="00B069E1">
        <w:rPr>
          <w:lang w:val="fr-FR"/>
        </w:rPr>
        <w:t xml:space="preserve">un jugement dans </w:t>
      </w:r>
      <w:r w:rsidR="00C34CF0" w:rsidRPr="00B069E1">
        <w:rPr>
          <w:lang w:val="fr-FR"/>
        </w:rPr>
        <w:t xml:space="preserve">un délai raisonnable </w:t>
      </w:r>
      <w:r w:rsidR="006D001E" w:rsidRPr="00B069E1">
        <w:rPr>
          <w:lang w:val="fr-FR"/>
        </w:rPr>
        <w:t>ne dépend pas de l</w:t>
      </w:r>
      <w:r w:rsidR="00B069E1" w:rsidRPr="00B069E1">
        <w:rPr>
          <w:lang w:val="fr-FR"/>
        </w:rPr>
        <w:t>’</w:t>
      </w:r>
      <w:r w:rsidR="006D001E" w:rsidRPr="00B069E1">
        <w:rPr>
          <w:lang w:val="fr-FR"/>
        </w:rPr>
        <w:t>issue favorable de la procédure principale</w:t>
      </w:r>
      <w:r w:rsidR="002B2E31" w:rsidRPr="00B069E1">
        <w:rPr>
          <w:lang w:val="fr-FR"/>
        </w:rPr>
        <w:t xml:space="preserve"> </w:t>
      </w:r>
      <w:r w:rsidR="006D001E" w:rsidRPr="00B069E1">
        <w:rPr>
          <w:lang w:val="fr-FR"/>
        </w:rPr>
        <w:t xml:space="preserve">(voir, notamment, </w:t>
      </w:r>
      <w:r w:rsidR="006D001E" w:rsidRPr="00B069E1">
        <w:rPr>
          <w:i/>
          <w:lang w:val="fr-FR"/>
        </w:rPr>
        <w:t>Giusti</w:t>
      </w:r>
      <w:r w:rsidR="006D001E" w:rsidRPr="00B069E1">
        <w:rPr>
          <w:lang w:val="fr-FR"/>
        </w:rPr>
        <w:t>, préc</w:t>
      </w:r>
      <w:r w:rsidR="00F606BF" w:rsidRPr="00B069E1">
        <w:rPr>
          <w:lang w:val="fr-FR"/>
        </w:rPr>
        <w:t>ité</w:t>
      </w:r>
      <w:r w:rsidR="006D001E" w:rsidRPr="00B069E1">
        <w:rPr>
          <w:lang w:val="fr-FR"/>
        </w:rPr>
        <w:t>, §§ 8 et 49</w:t>
      </w:r>
      <w:r w:rsidR="00F606BF" w:rsidRPr="00B069E1">
        <w:rPr>
          <w:lang w:val="fr-FR"/>
        </w:rPr>
        <w:t>, et</w:t>
      </w:r>
      <w:r w:rsidR="006D001E" w:rsidRPr="00B069E1">
        <w:rPr>
          <w:lang w:val="fr-FR"/>
        </w:rPr>
        <w:t xml:space="preserve"> </w:t>
      </w:r>
      <w:r w:rsidR="006D001E" w:rsidRPr="00B069E1">
        <w:rPr>
          <w:i/>
          <w:lang w:val="fr-FR"/>
        </w:rPr>
        <w:t>Belperio et Ciarmoli c.</w:t>
      </w:r>
      <w:r w:rsidR="00F606BF" w:rsidRPr="00B069E1">
        <w:rPr>
          <w:i/>
          <w:lang w:val="fr-FR"/>
        </w:rPr>
        <w:t> </w:t>
      </w:r>
      <w:r w:rsidR="006D001E" w:rsidRPr="00B069E1">
        <w:rPr>
          <w:i/>
          <w:lang w:val="fr-FR"/>
        </w:rPr>
        <w:t>Italie</w:t>
      </w:r>
      <w:r w:rsidR="006D001E" w:rsidRPr="00B069E1">
        <w:rPr>
          <w:lang w:val="fr-FR"/>
        </w:rPr>
        <w:t>, n</w:t>
      </w:r>
      <w:r w:rsidR="006D001E" w:rsidRPr="00B069E1">
        <w:rPr>
          <w:vertAlign w:val="superscript"/>
          <w:lang w:val="fr-FR"/>
        </w:rPr>
        <w:t>o</w:t>
      </w:r>
      <w:r w:rsidR="006D001E" w:rsidRPr="00B069E1">
        <w:rPr>
          <w:lang w:val="fr-FR"/>
        </w:rPr>
        <w:t xml:space="preserve"> 7932/04</w:t>
      </w:r>
      <w:r w:rsidR="006C1D0C" w:rsidRPr="00B069E1">
        <w:rPr>
          <w:snapToGrid w:val="0"/>
          <w:szCs w:val="24"/>
          <w:lang w:val="fr-FR"/>
        </w:rPr>
        <w:t>, §§ 10 et 60, 21 </w:t>
      </w:r>
      <w:r w:rsidR="006D001E" w:rsidRPr="00B069E1">
        <w:rPr>
          <w:szCs w:val="24"/>
          <w:lang w:val="fr-FR"/>
        </w:rPr>
        <w:t>décembre</w:t>
      </w:r>
      <w:r w:rsidR="00F606BF" w:rsidRPr="00B069E1">
        <w:rPr>
          <w:snapToGrid w:val="0"/>
          <w:szCs w:val="24"/>
          <w:lang w:val="fr-FR"/>
        </w:rPr>
        <w:t> </w:t>
      </w:r>
      <w:r w:rsidR="006D001E" w:rsidRPr="00B069E1">
        <w:rPr>
          <w:snapToGrid w:val="0"/>
          <w:szCs w:val="24"/>
          <w:lang w:val="fr-FR"/>
        </w:rPr>
        <w:t>2010</w:t>
      </w:r>
      <w:r w:rsidR="002B2E31" w:rsidRPr="00B069E1">
        <w:rPr>
          <w:snapToGrid w:val="0"/>
          <w:szCs w:val="24"/>
          <w:lang w:val="fr-FR"/>
        </w:rPr>
        <w:t>)</w:t>
      </w:r>
      <w:r w:rsidR="00C34CF0" w:rsidRPr="00B069E1">
        <w:rPr>
          <w:lang w:val="fr-FR"/>
        </w:rPr>
        <w:t xml:space="preserve">. </w:t>
      </w:r>
      <w:r w:rsidR="005D4655" w:rsidRPr="00B069E1">
        <w:rPr>
          <w:lang w:val="fr-FR"/>
        </w:rPr>
        <w:t>Elle estime que, t</w:t>
      </w:r>
      <w:r w:rsidR="00C3233C" w:rsidRPr="00B069E1">
        <w:rPr>
          <w:lang w:val="fr-FR"/>
        </w:rPr>
        <w:t xml:space="preserve">out au plus, </w:t>
      </w:r>
      <w:r w:rsidR="000D2496" w:rsidRPr="00B069E1">
        <w:rPr>
          <w:lang w:val="fr-FR"/>
        </w:rPr>
        <w:t xml:space="preserve">le </w:t>
      </w:r>
      <w:r w:rsidR="00C34CF0" w:rsidRPr="00B069E1">
        <w:rPr>
          <w:lang w:val="fr-FR"/>
        </w:rPr>
        <w:t xml:space="preserve">caractère </w:t>
      </w:r>
      <w:r w:rsidR="005D0F32" w:rsidRPr="00B069E1">
        <w:rPr>
          <w:lang w:val="fr-FR"/>
        </w:rPr>
        <w:t xml:space="preserve">manifestement </w:t>
      </w:r>
      <w:r w:rsidR="00C34CF0" w:rsidRPr="00B069E1">
        <w:rPr>
          <w:lang w:val="fr-FR"/>
        </w:rPr>
        <w:t xml:space="preserve">mal fondé </w:t>
      </w:r>
      <w:r w:rsidR="00472DEE" w:rsidRPr="00B069E1">
        <w:rPr>
          <w:lang w:val="fr-FR"/>
        </w:rPr>
        <w:t>des</w:t>
      </w:r>
      <w:r w:rsidR="00C34CF0" w:rsidRPr="00B069E1">
        <w:rPr>
          <w:lang w:val="fr-FR"/>
        </w:rPr>
        <w:t xml:space="preserve"> demande</w:t>
      </w:r>
      <w:r w:rsidR="00472DEE" w:rsidRPr="00B069E1">
        <w:rPr>
          <w:lang w:val="fr-FR"/>
        </w:rPr>
        <w:t>s</w:t>
      </w:r>
      <w:r w:rsidR="00C34CF0" w:rsidRPr="00B069E1">
        <w:rPr>
          <w:lang w:val="fr-FR"/>
        </w:rPr>
        <w:t xml:space="preserve"> </w:t>
      </w:r>
      <w:r w:rsidR="00472DEE" w:rsidRPr="00B069E1">
        <w:rPr>
          <w:lang w:val="fr-FR"/>
        </w:rPr>
        <w:t xml:space="preserve">aurait dû </w:t>
      </w:r>
      <w:r w:rsidR="00C34CF0" w:rsidRPr="00B069E1">
        <w:rPr>
          <w:lang w:val="fr-FR"/>
        </w:rPr>
        <w:t xml:space="preserve">constituer un indice du </w:t>
      </w:r>
      <w:r w:rsidR="0071373F" w:rsidRPr="00B069E1">
        <w:rPr>
          <w:lang w:val="fr-FR"/>
        </w:rPr>
        <w:t xml:space="preserve">caractère peu complexe </w:t>
      </w:r>
      <w:r w:rsidR="00C34CF0" w:rsidRPr="00B069E1">
        <w:rPr>
          <w:lang w:val="fr-FR"/>
        </w:rPr>
        <w:t>de l</w:t>
      </w:r>
      <w:r w:rsidR="00B069E1" w:rsidRPr="00B069E1">
        <w:rPr>
          <w:lang w:val="fr-FR"/>
        </w:rPr>
        <w:t>’</w:t>
      </w:r>
      <w:r w:rsidR="00C34CF0" w:rsidRPr="00B069E1">
        <w:rPr>
          <w:lang w:val="fr-FR"/>
        </w:rPr>
        <w:t xml:space="preserve">affaire, ce qui </w:t>
      </w:r>
      <w:r w:rsidR="007763FC" w:rsidRPr="00B069E1">
        <w:rPr>
          <w:lang w:val="fr-FR"/>
        </w:rPr>
        <w:t>justifie d</w:t>
      </w:r>
      <w:r w:rsidR="00B069E1" w:rsidRPr="00B069E1">
        <w:rPr>
          <w:lang w:val="fr-FR"/>
        </w:rPr>
        <w:t>’</w:t>
      </w:r>
      <w:r w:rsidR="007763FC" w:rsidRPr="00B069E1">
        <w:rPr>
          <w:lang w:val="fr-FR"/>
        </w:rPr>
        <w:t>autant</w:t>
      </w:r>
      <w:r w:rsidR="00C34CF0" w:rsidRPr="00B069E1">
        <w:rPr>
          <w:lang w:val="fr-FR"/>
        </w:rPr>
        <w:t xml:space="preserve"> </w:t>
      </w:r>
      <w:r w:rsidR="005D0F32" w:rsidRPr="00B069E1">
        <w:rPr>
          <w:lang w:val="fr-FR"/>
        </w:rPr>
        <w:t>moins</w:t>
      </w:r>
      <w:r w:rsidR="0071373F" w:rsidRPr="00B069E1">
        <w:rPr>
          <w:lang w:val="fr-FR"/>
        </w:rPr>
        <w:t xml:space="preserve"> un retard </w:t>
      </w:r>
      <w:r w:rsidR="00D95048" w:rsidRPr="00B069E1">
        <w:rPr>
          <w:lang w:val="fr-FR"/>
        </w:rPr>
        <w:t xml:space="preserve">aussi important </w:t>
      </w:r>
      <w:r w:rsidR="0071373F" w:rsidRPr="00B069E1">
        <w:rPr>
          <w:lang w:val="fr-FR"/>
        </w:rPr>
        <w:t>d</w:t>
      </w:r>
      <w:r w:rsidR="0037148D" w:rsidRPr="00B069E1">
        <w:rPr>
          <w:lang w:val="fr-FR"/>
        </w:rPr>
        <w:t>ans</w:t>
      </w:r>
      <w:r w:rsidR="0071373F" w:rsidRPr="00B069E1">
        <w:rPr>
          <w:lang w:val="fr-FR"/>
        </w:rPr>
        <w:t xml:space="preserve"> </w:t>
      </w:r>
      <w:r w:rsidR="00E24396" w:rsidRPr="00B069E1">
        <w:rPr>
          <w:lang w:val="fr-FR"/>
        </w:rPr>
        <w:t xml:space="preserve">leur </w:t>
      </w:r>
      <w:r w:rsidR="0071373F" w:rsidRPr="00B069E1">
        <w:rPr>
          <w:lang w:val="fr-FR"/>
        </w:rPr>
        <w:t>examen</w:t>
      </w:r>
      <w:r w:rsidR="005D4655" w:rsidRPr="00B069E1">
        <w:rPr>
          <w:lang w:val="fr-FR"/>
        </w:rPr>
        <w:t xml:space="preserve">. </w:t>
      </w:r>
      <w:r w:rsidR="00472DEE" w:rsidRPr="00B069E1">
        <w:rPr>
          <w:lang w:val="fr-FR"/>
        </w:rPr>
        <w:t xml:space="preserve">Elle </w:t>
      </w:r>
      <w:r w:rsidR="00665691" w:rsidRPr="00B069E1">
        <w:rPr>
          <w:lang w:val="fr-FR"/>
        </w:rPr>
        <w:t>note enfin que ni dans le cadre de</w:t>
      </w:r>
      <w:r w:rsidR="00820C3A" w:rsidRPr="00B069E1">
        <w:rPr>
          <w:lang w:val="fr-FR"/>
        </w:rPr>
        <w:t xml:space="preserve"> </w:t>
      </w:r>
      <w:r w:rsidR="00665691" w:rsidRPr="00B069E1">
        <w:rPr>
          <w:lang w:val="fr-FR"/>
        </w:rPr>
        <w:t xml:space="preserve">la procédure </w:t>
      </w:r>
      <w:r w:rsidR="00820C3A" w:rsidRPr="00B069E1">
        <w:rPr>
          <w:lang w:val="fr-FR"/>
        </w:rPr>
        <w:t>principale</w:t>
      </w:r>
      <w:r w:rsidR="00665691" w:rsidRPr="00B069E1">
        <w:rPr>
          <w:lang w:val="fr-FR"/>
        </w:rPr>
        <w:t xml:space="preserve"> ni dans </w:t>
      </w:r>
      <w:r w:rsidR="00472DEE" w:rsidRPr="00B069E1">
        <w:rPr>
          <w:lang w:val="fr-FR"/>
        </w:rPr>
        <w:t xml:space="preserve">celui de </w:t>
      </w:r>
      <w:r w:rsidR="00FF0D61" w:rsidRPr="00B069E1">
        <w:rPr>
          <w:lang w:val="fr-FR"/>
        </w:rPr>
        <w:t>la procédure</w:t>
      </w:r>
      <w:r w:rsidR="00665691" w:rsidRPr="00B069E1">
        <w:rPr>
          <w:lang w:val="fr-FR"/>
        </w:rPr>
        <w:t xml:space="preserve"> Pinto les juridictions internes </w:t>
      </w:r>
      <w:r w:rsidR="00472DEE" w:rsidRPr="00B069E1">
        <w:rPr>
          <w:lang w:val="fr-FR"/>
        </w:rPr>
        <w:t>n</w:t>
      </w:r>
      <w:r w:rsidR="00B069E1" w:rsidRPr="00B069E1">
        <w:rPr>
          <w:lang w:val="fr-FR"/>
        </w:rPr>
        <w:t>’</w:t>
      </w:r>
      <w:r w:rsidR="00665691" w:rsidRPr="00B069E1">
        <w:rPr>
          <w:lang w:val="fr-FR"/>
        </w:rPr>
        <w:t xml:space="preserve">ont estimé que les demandes des requérants </w:t>
      </w:r>
      <w:r w:rsidR="00820C3A" w:rsidRPr="00B069E1">
        <w:rPr>
          <w:lang w:val="fr-FR"/>
        </w:rPr>
        <w:t xml:space="preserve">pouvaient </w:t>
      </w:r>
      <w:r w:rsidR="000D2496" w:rsidRPr="00B069E1">
        <w:rPr>
          <w:lang w:val="fr-FR"/>
        </w:rPr>
        <w:t xml:space="preserve">être considérées comme </w:t>
      </w:r>
      <w:r w:rsidR="00665691" w:rsidRPr="00B069E1">
        <w:rPr>
          <w:lang w:val="fr-FR"/>
        </w:rPr>
        <w:t>abusives (</w:t>
      </w:r>
      <w:r w:rsidR="00472DEE" w:rsidRPr="00B069E1">
        <w:rPr>
          <w:lang w:val="fr-FR"/>
        </w:rPr>
        <w:t xml:space="preserve">voir, </w:t>
      </w:r>
      <w:r w:rsidR="00820C3A" w:rsidRPr="00B069E1">
        <w:rPr>
          <w:i/>
          <w:lang w:val="fr-FR"/>
        </w:rPr>
        <w:t>mutatis mutandis</w:t>
      </w:r>
      <w:r w:rsidR="00820C3A" w:rsidRPr="00B069E1">
        <w:rPr>
          <w:lang w:val="fr-FR"/>
        </w:rPr>
        <w:t xml:space="preserve">, </w:t>
      </w:r>
      <w:r w:rsidR="00820C3A" w:rsidRPr="00B069E1">
        <w:rPr>
          <w:i/>
          <w:lang w:val="fr-FR"/>
        </w:rPr>
        <w:t>Jovanović c. Serbie</w:t>
      </w:r>
      <w:r w:rsidR="00820C3A" w:rsidRPr="00B069E1">
        <w:rPr>
          <w:lang w:val="fr-FR"/>
        </w:rPr>
        <w:t xml:space="preserve"> (déc.) [comité], n</w:t>
      </w:r>
      <w:r w:rsidR="00272D89" w:rsidRPr="00B069E1">
        <w:rPr>
          <w:vertAlign w:val="superscript"/>
          <w:lang w:val="fr-FR"/>
        </w:rPr>
        <w:t>o</w:t>
      </w:r>
      <w:r w:rsidR="00820C3A" w:rsidRPr="00B069E1">
        <w:rPr>
          <w:lang w:val="fr-FR"/>
        </w:rPr>
        <w:t xml:space="preserve"> 40348/08, 7 mars 2014, </w:t>
      </w:r>
      <w:r w:rsidR="00472DEE" w:rsidRPr="00B069E1">
        <w:rPr>
          <w:lang w:val="fr-FR"/>
        </w:rPr>
        <w:t>et</w:t>
      </w:r>
      <w:r w:rsidR="00D95048" w:rsidRPr="00B069E1">
        <w:rPr>
          <w:lang w:val="fr-FR"/>
        </w:rPr>
        <w:t>,</w:t>
      </w:r>
      <w:r w:rsidR="00472DEE" w:rsidRPr="00B069E1">
        <w:rPr>
          <w:lang w:val="fr-FR"/>
        </w:rPr>
        <w:t xml:space="preserve"> </w:t>
      </w:r>
      <w:r w:rsidR="00472DEE" w:rsidRPr="00B069E1">
        <w:rPr>
          <w:i/>
          <w:lang w:val="fr-FR"/>
        </w:rPr>
        <w:t>a contrario</w:t>
      </w:r>
      <w:r w:rsidR="00472DEE" w:rsidRPr="00B069E1">
        <w:rPr>
          <w:lang w:val="fr-FR"/>
        </w:rPr>
        <w:t>,</w:t>
      </w:r>
      <w:r w:rsidR="00472DEE" w:rsidRPr="00B069E1">
        <w:rPr>
          <w:i/>
          <w:lang w:val="fr-FR"/>
        </w:rPr>
        <w:t xml:space="preserve"> </w:t>
      </w:r>
      <w:r w:rsidR="00820C3A" w:rsidRPr="00B069E1">
        <w:rPr>
          <w:i/>
          <w:lang w:val="fr-FR"/>
        </w:rPr>
        <w:t>Cavaliere c. Italie</w:t>
      </w:r>
      <w:r w:rsidR="00820C3A" w:rsidRPr="00B069E1">
        <w:rPr>
          <w:lang w:val="fr-FR"/>
        </w:rPr>
        <w:t xml:space="preserve"> (déc.), n</w:t>
      </w:r>
      <w:r w:rsidR="00820C3A" w:rsidRPr="00B069E1">
        <w:rPr>
          <w:vertAlign w:val="superscript"/>
          <w:lang w:val="fr-FR"/>
        </w:rPr>
        <w:t>os</w:t>
      </w:r>
      <w:r w:rsidR="00820C3A" w:rsidRPr="00B069E1">
        <w:rPr>
          <w:lang w:val="fr-FR"/>
        </w:rPr>
        <w:t xml:space="preserve"> </w:t>
      </w:r>
      <w:r w:rsidR="00820C3A" w:rsidRPr="00B069E1">
        <w:t>50930/11</w:t>
      </w:r>
      <w:r w:rsidR="00820C3A" w:rsidRPr="00B069E1">
        <w:rPr>
          <w:lang w:val="fr-FR"/>
        </w:rPr>
        <w:t xml:space="preserve"> </w:t>
      </w:r>
      <w:r w:rsidR="00820C3A" w:rsidRPr="00B069E1">
        <w:t>et 50893/13</w:t>
      </w:r>
      <w:r w:rsidR="00820C3A" w:rsidRPr="00B069E1">
        <w:rPr>
          <w:lang w:val="fr-FR"/>
        </w:rPr>
        <w:t>, 12</w:t>
      </w:r>
      <w:r w:rsidR="00472DEE" w:rsidRPr="00B069E1">
        <w:rPr>
          <w:lang w:val="fr-FR"/>
        </w:rPr>
        <w:t> </w:t>
      </w:r>
      <w:r w:rsidR="00DF15B5" w:rsidRPr="00B069E1">
        <w:rPr>
          <w:lang w:val="fr-FR"/>
        </w:rPr>
        <w:t>novembre </w:t>
      </w:r>
      <w:r w:rsidR="00820C3A" w:rsidRPr="00B069E1">
        <w:rPr>
          <w:lang w:val="fr-FR"/>
        </w:rPr>
        <w:t xml:space="preserve">2013). </w:t>
      </w:r>
      <w:r w:rsidR="00820C3A" w:rsidRPr="00B069E1">
        <w:rPr>
          <w:lang w:val="fr-FR"/>
        </w:rPr>
        <w:fldChar w:fldCharType="begin"/>
      </w:r>
      <w:r w:rsidR="00820C3A" w:rsidRPr="00B069E1">
        <w:rPr>
          <w:lang w:val="fr-FR"/>
        </w:rPr>
        <w:instrText xml:space="preserve">  </w:instrText>
      </w:r>
      <w:r w:rsidR="00820C3A" w:rsidRPr="00B069E1">
        <w:rPr>
          <w:lang w:val="fr-FR"/>
        </w:rPr>
        <w:fldChar w:fldCharType="end"/>
      </w:r>
    </w:p>
    <w:p w:rsidR="00473D7F" w:rsidRPr="00B069E1" w:rsidRDefault="00473D7F" w:rsidP="00B069E1">
      <w:pPr>
        <w:pStyle w:val="ECHRPara"/>
        <w:rPr>
          <w:lang w:val="fr-FR"/>
        </w:rPr>
      </w:pPr>
      <w:r w:rsidRPr="00B069E1">
        <w:rPr>
          <w:lang w:val="fr-FR"/>
        </w:rPr>
        <w:fldChar w:fldCharType="begin"/>
      </w:r>
      <w:r w:rsidRPr="00B069E1">
        <w:rPr>
          <w:lang w:val="fr-FR"/>
        </w:rPr>
        <w:instrText xml:space="preserve"> SEQ level0 \*arabic </w:instrText>
      </w:r>
      <w:r w:rsidRPr="00B069E1">
        <w:rPr>
          <w:lang w:val="fr-FR"/>
        </w:rPr>
        <w:fldChar w:fldCharType="separate"/>
      </w:r>
      <w:r w:rsidR="00B069E1" w:rsidRPr="00B069E1">
        <w:rPr>
          <w:noProof/>
          <w:lang w:val="fr-FR"/>
        </w:rPr>
        <w:t>17</w:t>
      </w:r>
      <w:r w:rsidRPr="00B069E1">
        <w:rPr>
          <w:lang w:val="fr-FR"/>
        </w:rPr>
        <w:fldChar w:fldCharType="end"/>
      </w:r>
      <w:r w:rsidRPr="00B069E1">
        <w:rPr>
          <w:lang w:val="fr-FR"/>
        </w:rPr>
        <w:t xml:space="preserve">.  Compte tenu de ce qui précède, la Cour estime que </w:t>
      </w:r>
      <w:r w:rsidR="007763FC" w:rsidRPr="00B069E1">
        <w:rPr>
          <w:lang w:val="fr-FR"/>
        </w:rPr>
        <w:t>le premier critère</w:t>
      </w:r>
      <w:r w:rsidRPr="00B069E1">
        <w:rPr>
          <w:lang w:val="fr-FR"/>
        </w:rPr>
        <w:t xml:space="preserve"> de l</w:t>
      </w:r>
      <w:r w:rsidR="00B069E1" w:rsidRPr="00B069E1">
        <w:rPr>
          <w:lang w:val="fr-FR"/>
        </w:rPr>
        <w:t>’</w:t>
      </w:r>
      <w:r w:rsidRPr="00B069E1">
        <w:rPr>
          <w:lang w:val="fr-FR"/>
        </w:rPr>
        <w:t>article 35 § 3 b) de la Convention, à savoir l</w:t>
      </w:r>
      <w:r w:rsidR="00B069E1" w:rsidRPr="00B069E1">
        <w:rPr>
          <w:lang w:val="fr-FR"/>
        </w:rPr>
        <w:t>’</w:t>
      </w:r>
      <w:r w:rsidRPr="00B069E1">
        <w:rPr>
          <w:lang w:val="fr-FR"/>
        </w:rPr>
        <w:t>absence de préjudice important pour les requérants</w:t>
      </w:r>
      <w:r w:rsidR="00E24396" w:rsidRPr="00B069E1">
        <w:rPr>
          <w:lang w:val="fr-FR"/>
        </w:rPr>
        <w:t>,</w:t>
      </w:r>
      <w:r w:rsidRPr="00B069E1">
        <w:rPr>
          <w:lang w:val="fr-FR"/>
        </w:rPr>
        <w:t xml:space="preserve"> n</w:t>
      </w:r>
      <w:r w:rsidR="00B069E1" w:rsidRPr="00B069E1">
        <w:rPr>
          <w:lang w:val="fr-FR"/>
        </w:rPr>
        <w:t>’</w:t>
      </w:r>
      <w:r w:rsidR="007763FC" w:rsidRPr="00B069E1">
        <w:rPr>
          <w:lang w:val="fr-FR"/>
        </w:rPr>
        <w:t xml:space="preserve">est pas </w:t>
      </w:r>
      <w:r w:rsidRPr="00B069E1">
        <w:rPr>
          <w:lang w:val="fr-FR"/>
        </w:rPr>
        <w:t xml:space="preserve">rempli </w:t>
      </w:r>
      <w:r w:rsidR="00295627" w:rsidRPr="00B069E1">
        <w:rPr>
          <w:lang w:val="fr-FR"/>
        </w:rPr>
        <w:t>en l</w:t>
      </w:r>
      <w:r w:rsidR="00B069E1" w:rsidRPr="00B069E1">
        <w:rPr>
          <w:lang w:val="fr-FR"/>
        </w:rPr>
        <w:t>’</w:t>
      </w:r>
      <w:r w:rsidR="00295627" w:rsidRPr="00B069E1">
        <w:rPr>
          <w:lang w:val="fr-FR"/>
        </w:rPr>
        <w:t xml:space="preserve">espèce </w:t>
      </w:r>
      <w:r w:rsidRPr="00B069E1">
        <w:rPr>
          <w:lang w:val="fr-FR"/>
        </w:rPr>
        <w:t>et</w:t>
      </w:r>
      <w:r w:rsidR="00C56891" w:rsidRPr="00B069E1">
        <w:rPr>
          <w:lang w:val="fr-FR"/>
        </w:rPr>
        <w:t xml:space="preserve"> que</w:t>
      </w:r>
      <w:r w:rsidR="00295627" w:rsidRPr="00B069E1">
        <w:rPr>
          <w:lang w:val="fr-FR"/>
        </w:rPr>
        <w:t xml:space="preserve">, partant, </w:t>
      </w:r>
      <w:r w:rsidRPr="00B069E1">
        <w:rPr>
          <w:lang w:val="fr-FR"/>
        </w:rPr>
        <w:t>il y a lieu de rejeter l</w:t>
      </w:r>
      <w:r w:rsidR="00B069E1" w:rsidRPr="00B069E1">
        <w:rPr>
          <w:lang w:val="fr-FR"/>
        </w:rPr>
        <w:t>’</w:t>
      </w:r>
      <w:r w:rsidRPr="00B069E1">
        <w:rPr>
          <w:lang w:val="fr-FR"/>
        </w:rPr>
        <w:t>exception du Gouvernement</w:t>
      </w:r>
      <w:r w:rsidR="00295627" w:rsidRPr="00B069E1">
        <w:rPr>
          <w:lang w:val="fr-FR"/>
        </w:rPr>
        <w:t xml:space="preserve"> sur ce point</w:t>
      </w:r>
      <w:r w:rsidRPr="00B069E1">
        <w:rPr>
          <w:lang w:val="fr-FR"/>
        </w:rPr>
        <w:t>.</w:t>
      </w:r>
    </w:p>
    <w:p w:rsidR="00272D89" w:rsidRPr="00B069E1" w:rsidRDefault="00E53CC5" w:rsidP="00B069E1">
      <w:pPr>
        <w:pStyle w:val="ECHRPara"/>
        <w:rPr>
          <w:lang w:val="fr-FR"/>
        </w:rPr>
      </w:pPr>
      <w:r w:rsidRPr="00B069E1">
        <w:rPr>
          <w:lang w:val="fr-FR"/>
        </w:rPr>
        <w:fldChar w:fldCharType="begin"/>
      </w:r>
      <w:r w:rsidRPr="00B069E1">
        <w:rPr>
          <w:lang w:val="fr-FR"/>
        </w:rPr>
        <w:instrText xml:space="preserve"> SEQ level0 \*arabic </w:instrText>
      </w:r>
      <w:r w:rsidRPr="00B069E1">
        <w:rPr>
          <w:lang w:val="fr-FR"/>
        </w:rPr>
        <w:fldChar w:fldCharType="separate"/>
      </w:r>
      <w:r w:rsidR="00B069E1" w:rsidRPr="00B069E1">
        <w:rPr>
          <w:noProof/>
          <w:lang w:val="fr-FR"/>
        </w:rPr>
        <w:t>18</w:t>
      </w:r>
      <w:r w:rsidRPr="00B069E1">
        <w:rPr>
          <w:lang w:val="fr-FR"/>
        </w:rPr>
        <w:fldChar w:fldCharType="end"/>
      </w:r>
      <w:r w:rsidRPr="00B069E1">
        <w:rPr>
          <w:lang w:val="fr-FR"/>
        </w:rPr>
        <w:t>.  </w:t>
      </w:r>
      <w:r w:rsidR="00295627" w:rsidRPr="00B069E1">
        <w:rPr>
          <w:lang w:val="fr-FR"/>
        </w:rPr>
        <w:t>L</w:t>
      </w:r>
      <w:r w:rsidR="0041362C" w:rsidRPr="00B069E1">
        <w:rPr>
          <w:lang w:val="fr-FR"/>
        </w:rPr>
        <w:t xml:space="preserve">e Gouvernement </w:t>
      </w:r>
      <w:r w:rsidR="00E24396" w:rsidRPr="00B069E1">
        <w:rPr>
          <w:lang w:val="fr-FR"/>
        </w:rPr>
        <w:t xml:space="preserve">argue </w:t>
      </w:r>
      <w:r w:rsidR="00295627" w:rsidRPr="00B069E1">
        <w:rPr>
          <w:lang w:val="fr-FR"/>
        </w:rPr>
        <w:t xml:space="preserve">ensuite </w:t>
      </w:r>
      <w:r w:rsidR="0041362C" w:rsidRPr="00B069E1">
        <w:rPr>
          <w:lang w:val="fr-FR"/>
        </w:rPr>
        <w:t xml:space="preserve">que les requérants ne peuvent plus se </w:t>
      </w:r>
      <w:r w:rsidR="00CF2077" w:rsidRPr="00B069E1">
        <w:rPr>
          <w:lang w:val="fr-FR"/>
        </w:rPr>
        <w:t>prétendre</w:t>
      </w:r>
      <w:r w:rsidR="0041362C" w:rsidRPr="00B069E1">
        <w:rPr>
          <w:lang w:val="fr-FR"/>
        </w:rPr>
        <w:t xml:space="preserve"> victime</w:t>
      </w:r>
      <w:r w:rsidR="00A36939" w:rsidRPr="00B069E1">
        <w:rPr>
          <w:lang w:val="fr-FR"/>
        </w:rPr>
        <w:t xml:space="preserve">s </w:t>
      </w:r>
      <w:r w:rsidR="0041362C" w:rsidRPr="00B069E1">
        <w:rPr>
          <w:lang w:val="fr-FR"/>
        </w:rPr>
        <w:t xml:space="preserve">des violations alléguées </w:t>
      </w:r>
      <w:r w:rsidR="00C56891" w:rsidRPr="00B069E1">
        <w:rPr>
          <w:lang w:val="fr-FR"/>
        </w:rPr>
        <w:t>dès lors que</w:t>
      </w:r>
      <w:r w:rsidR="00295627" w:rsidRPr="00B069E1">
        <w:rPr>
          <w:lang w:val="fr-FR"/>
        </w:rPr>
        <w:t>, selon lui,</w:t>
      </w:r>
      <w:r w:rsidR="0041362C" w:rsidRPr="00B069E1">
        <w:rPr>
          <w:lang w:val="fr-FR"/>
        </w:rPr>
        <w:t xml:space="preserve"> les juridictions internes</w:t>
      </w:r>
      <w:r w:rsidR="0038240D" w:rsidRPr="00B069E1">
        <w:rPr>
          <w:lang w:val="fr-FR"/>
        </w:rPr>
        <w:t xml:space="preserve"> ont</w:t>
      </w:r>
      <w:r w:rsidR="00C56891" w:rsidRPr="00B069E1">
        <w:rPr>
          <w:lang w:val="fr-FR"/>
        </w:rPr>
        <w:t>, en premier lieu,</w:t>
      </w:r>
      <w:r w:rsidR="0038240D" w:rsidRPr="00B069E1">
        <w:rPr>
          <w:lang w:val="fr-FR"/>
        </w:rPr>
        <w:t xml:space="preserve"> reconnu la violation et, </w:t>
      </w:r>
      <w:r w:rsidR="00C56891" w:rsidRPr="00B069E1">
        <w:rPr>
          <w:lang w:val="fr-FR"/>
        </w:rPr>
        <w:t>en deuxième lieu</w:t>
      </w:r>
      <w:r w:rsidR="0038240D" w:rsidRPr="00B069E1">
        <w:rPr>
          <w:lang w:val="fr-FR"/>
        </w:rPr>
        <w:t>,</w:t>
      </w:r>
      <w:r w:rsidR="0041362C" w:rsidRPr="00B069E1">
        <w:rPr>
          <w:lang w:val="fr-FR"/>
        </w:rPr>
        <w:t xml:space="preserve"> accordé une somme </w:t>
      </w:r>
      <w:r w:rsidR="00C56891" w:rsidRPr="00B069E1">
        <w:rPr>
          <w:lang w:val="fr-FR"/>
        </w:rPr>
        <w:t>pour</w:t>
      </w:r>
      <w:r w:rsidR="0041362C" w:rsidRPr="00B069E1">
        <w:rPr>
          <w:lang w:val="fr-FR"/>
        </w:rPr>
        <w:t xml:space="preserve"> dommage moral, ce qui constitue </w:t>
      </w:r>
      <w:r w:rsidR="00295627" w:rsidRPr="00B069E1">
        <w:rPr>
          <w:lang w:val="fr-FR"/>
        </w:rPr>
        <w:t xml:space="preserve">à ses yeux </w:t>
      </w:r>
      <w:r w:rsidR="0041362C" w:rsidRPr="00B069E1">
        <w:rPr>
          <w:lang w:val="fr-FR"/>
        </w:rPr>
        <w:t>une réparation adéquate.</w:t>
      </w:r>
    </w:p>
    <w:p w:rsidR="00E53CC5" w:rsidRPr="00B069E1" w:rsidRDefault="00473D7F" w:rsidP="00B069E1">
      <w:pPr>
        <w:pStyle w:val="ECHRPara"/>
        <w:rPr>
          <w:lang w:val="fr-FR"/>
        </w:rPr>
      </w:pPr>
      <w:r w:rsidRPr="00B069E1">
        <w:rPr>
          <w:lang w:val="fr-FR"/>
        </w:rPr>
        <w:lastRenderedPageBreak/>
        <w:fldChar w:fldCharType="begin"/>
      </w:r>
      <w:r w:rsidRPr="00B069E1">
        <w:rPr>
          <w:lang w:val="fr-FR"/>
        </w:rPr>
        <w:instrText xml:space="preserve"> SEQ level0 \*arabic </w:instrText>
      </w:r>
      <w:r w:rsidRPr="00B069E1">
        <w:rPr>
          <w:lang w:val="fr-FR"/>
        </w:rPr>
        <w:fldChar w:fldCharType="separate"/>
      </w:r>
      <w:r w:rsidR="00B069E1" w:rsidRPr="00B069E1">
        <w:rPr>
          <w:noProof/>
          <w:lang w:val="fr-FR"/>
        </w:rPr>
        <w:t>19</w:t>
      </w:r>
      <w:r w:rsidRPr="00B069E1">
        <w:rPr>
          <w:lang w:val="fr-FR"/>
        </w:rPr>
        <w:fldChar w:fldCharType="end"/>
      </w:r>
      <w:r w:rsidRPr="00B069E1">
        <w:rPr>
          <w:lang w:val="fr-FR"/>
        </w:rPr>
        <w:t>.  </w:t>
      </w:r>
      <w:r w:rsidR="0041362C" w:rsidRPr="00B069E1">
        <w:rPr>
          <w:lang w:val="fr-FR"/>
        </w:rPr>
        <w:t>Les requérants</w:t>
      </w:r>
      <w:r w:rsidR="0071373F" w:rsidRPr="00B069E1">
        <w:rPr>
          <w:lang w:val="fr-FR"/>
        </w:rPr>
        <w:t xml:space="preserve"> </w:t>
      </w:r>
      <w:r w:rsidR="00295627" w:rsidRPr="00B069E1">
        <w:rPr>
          <w:lang w:val="fr-FR"/>
        </w:rPr>
        <w:t xml:space="preserve">combattent </w:t>
      </w:r>
      <w:r w:rsidR="0071373F" w:rsidRPr="00B069E1">
        <w:rPr>
          <w:lang w:val="fr-FR"/>
        </w:rPr>
        <w:t>cette thèse.</w:t>
      </w:r>
    </w:p>
    <w:p w:rsidR="00272D89" w:rsidRPr="00B069E1" w:rsidRDefault="00E53CC5" w:rsidP="00B069E1">
      <w:pPr>
        <w:pStyle w:val="ECHRPara"/>
        <w:rPr>
          <w:lang w:val="fr-FR"/>
        </w:rPr>
      </w:pPr>
      <w:r w:rsidRPr="00B069E1">
        <w:rPr>
          <w:lang w:val="fr-FR"/>
        </w:rPr>
        <w:fldChar w:fldCharType="begin"/>
      </w:r>
      <w:r w:rsidRPr="00B069E1">
        <w:rPr>
          <w:lang w:val="fr-FR"/>
        </w:rPr>
        <w:instrText xml:space="preserve"> SEQ level0 \*arabic </w:instrText>
      </w:r>
      <w:r w:rsidRPr="00B069E1">
        <w:rPr>
          <w:lang w:val="fr-FR"/>
        </w:rPr>
        <w:fldChar w:fldCharType="separate"/>
      </w:r>
      <w:r w:rsidR="00B069E1" w:rsidRPr="00B069E1">
        <w:rPr>
          <w:noProof/>
          <w:lang w:val="fr-FR"/>
        </w:rPr>
        <w:t>20</w:t>
      </w:r>
      <w:r w:rsidRPr="00B069E1">
        <w:rPr>
          <w:lang w:val="fr-FR"/>
        </w:rPr>
        <w:fldChar w:fldCharType="end"/>
      </w:r>
      <w:r w:rsidRPr="00B069E1">
        <w:rPr>
          <w:lang w:val="fr-FR"/>
        </w:rPr>
        <w:t>.</w:t>
      </w:r>
      <w:r w:rsidR="004B6493" w:rsidRPr="00B069E1">
        <w:rPr>
          <w:lang w:val="fr-FR"/>
        </w:rPr>
        <w:t>  </w:t>
      </w:r>
      <w:r w:rsidRPr="00B069E1">
        <w:rPr>
          <w:lang w:val="fr-FR"/>
        </w:rPr>
        <w:t>La Cour note</w:t>
      </w:r>
      <w:r w:rsidR="000D2496" w:rsidRPr="00B069E1">
        <w:rPr>
          <w:lang w:val="fr-FR"/>
        </w:rPr>
        <w:t xml:space="preserve"> tout d</w:t>
      </w:r>
      <w:r w:rsidR="00B069E1" w:rsidRPr="00B069E1">
        <w:rPr>
          <w:lang w:val="fr-FR"/>
        </w:rPr>
        <w:t>’</w:t>
      </w:r>
      <w:r w:rsidR="000D2496" w:rsidRPr="00B069E1">
        <w:rPr>
          <w:lang w:val="fr-FR"/>
        </w:rPr>
        <w:t>abord</w:t>
      </w:r>
      <w:r w:rsidRPr="00B069E1">
        <w:rPr>
          <w:lang w:val="fr-FR"/>
        </w:rPr>
        <w:t xml:space="preserve"> </w:t>
      </w:r>
      <w:r w:rsidR="007763FC" w:rsidRPr="00B069E1">
        <w:rPr>
          <w:lang w:val="fr-FR"/>
        </w:rPr>
        <w:t>qu</w:t>
      </w:r>
      <w:r w:rsidR="00B069E1" w:rsidRPr="00B069E1">
        <w:rPr>
          <w:lang w:val="fr-FR"/>
        </w:rPr>
        <w:t>’</w:t>
      </w:r>
      <w:r w:rsidR="007763FC" w:rsidRPr="00B069E1">
        <w:rPr>
          <w:lang w:val="fr-FR"/>
        </w:rPr>
        <w:t>elle examine pour</w:t>
      </w:r>
      <w:r w:rsidRPr="00B069E1">
        <w:rPr>
          <w:lang w:val="fr-FR"/>
        </w:rPr>
        <w:t xml:space="preserve"> la première fois l</w:t>
      </w:r>
      <w:r w:rsidR="00B069E1" w:rsidRPr="00B069E1">
        <w:rPr>
          <w:lang w:val="fr-FR"/>
        </w:rPr>
        <w:t>’</w:t>
      </w:r>
      <w:r w:rsidRPr="00B069E1">
        <w:rPr>
          <w:lang w:val="fr-FR"/>
        </w:rPr>
        <w:t>application de l</w:t>
      </w:r>
      <w:r w:rsidR="00B069E1" w:rsidRPr="00B069E1">
        <w:rPr>
          <w:lang w:val="fr-FR"/>
        </w:rPr>
        <w:t>’</w:t>
      </w:r>
      <w:r w:rsidRPr="00B069E1">
        <w:rPr>
          <w:lang w:val="fr-FR"/>
        </w:rPr>
        <w:t xml:space="preserve">article 6 </w:t>
      </w:r>
      <w:r w:rsidR="00112709" w:rsidRPr="00B069E1">
        <w:rPr>
          <w:lang w:val="fr-FR"/>
        </w:rPr>
        <w:t xml:space="preserve">de la Convention </w:t>
      </w:r>
      <w:r w:rsidRPr="00B069E1">
        <w:rPr>
          <w:lang w:val="fr-FR"/>
        </w:rPr>
        <w:t>au contentieux relatif à la durée des procédures devant les organes juridictionnels de la Chambre des députés.</w:t>
      </w:r>
    </w:p>
    <w:p w:rsidR="00E53CC5" w:rsidRPr="00B069E1" w:rsidRDefault="00E53CC5" w:rsidP="00B069E1">
      <w:pPr>
        <w:pStyle w:val="ECHRPara"/>
        <w:rPr>
          <w:lang w:val="fr-FR"/>
        </w:rPr>
      </w:pPr>
      <w:r w:rsidRPr="00B069E1">
        <w:rPr>
          <w:bCs/>
          <w:color w:val="000000"/>
          <w:lang w:val="fr-FR"/>
        </w:rPr>
        <w:fldChar w:fldCharType="begin"/>
      </w:r>
      <w:r w:rsidRPr="00B069E1">
        <w:rPr>
          <w:bCs/>
          <w:color w:val="000000"/>
          <w:lang w:val="fr-FR"/>
        </w:rPr>
        <w:instrText xml:space="preserve"> SEQ level0 \*arabic </w:instrText>
      </w:r>
      <w:r w:rsidRPr="00B069E1">
        <w:rPr>
          <w:bCs/>
          <w:color w:val="000000"/>
          <w:lang w:val="fr-FR"/>
        </w:rPr>
        <w:fldChar w:fldCharType="separate"/>
      </w:r>
      <w:r w:rsidR="00B069E1" w:rsidRPr="00B069E1">
        <w:rPr>
          <w:bCs/>
          <w:noProof/>
          <w:color w:val="000000"/>
          <w:lang w:val="fr-FR"/>
        </w:rPr>
        <w:t>21</w:t>
      </w:r>
      <w:r w:rsidRPr="00B069E1">
        <w:rPr>
          <w:bCs/>
          <w:color w:val="000000"/>
          <w:lang w:val="fr-FR"/>
        </w:rPr>
        <w:fldChar w:fldCharType="end"/>
      </w:r>
      <w:r w:rsidRPr="00B069E1">
        <w:rPr>
          <w:bCs/>
          <w:color w:val="000000"/>
          <w:lang w:val="fr-FR"/>
        </w:rPr>
        <w:t>.  </w:t>
      </w:r>
      <w:r w:rsidR="00FF0D61" w:rsidRPr="00B069E1">
        <w:rPr>
          <w:bCs/>
          <w:color w:val="000000"/>
          <w:lang w:val="fr-FR"/>
        </w:rPr>
        <w:t>Elle</w:t>
      </w:r>
      <w:r w:rsidRPr="00B069E1">
        <w:rPr>
          <w:bCs/>
          <w:color w:val="000000"/>
          <w:lang w:val="fr-FR"/>
        </w:rPr>
        <w:t xml:space="preserve"> </w:t>
      </w:r>
      <w:r w:rsidR="00C56891" w:rsidRPr="00B069E1">
        <w:rPr>
          <w:bCs/>
          <w:color w:val="000000"/>
          <w:lang w:val="fr-FR"/>
        </w:rPr>
        <w:t xml:space="preserve">relève </w:t>
      </w:r>
      <w:r w:rsidR="004B6493" w:rsidRPr="00B069E1">
        <w:rPr>
          <w:bCs/>
          <w:color w:val="000000"/>
          <w:lang w:val="fr-FR"/>
        </w:rPr>
        <w:t xml:space="preserve">ensuite </w:t>
      </w:r>
      <w:r w:rsidRPr="00B069E1">
        <w:rPr>
          <w:bCs/>
          <w:color w:val="000000"/>
          <w:lang w:val="fr-FR"/>
        </w:rPr>
        <w:t>qu</w:t>
      </w:r>
      <w:r w:rsidR="00112709" w:rsidRPr="00B069E1">
        <w:rPr>
          <w:bCs/>
          <w:color w:val="000000"/>
          <w:lang w:val="fr-FR"/>
        </w:rPr>
        <w:t xml:space="preserve">e, </w:t>
      </w:r>
      <w:r w:rsidRPr="00B069E1">
        <w:rPr>
          <w:bCs/>
          <w:color w:val="000000"/>
          <w:lang w:val="fr-FR"/>
        </w:rPr>
        <w:t xml:space="preserve">en vertu de </w:t>
      </w:r>
      <w:r w:rsidRPr="00B069E1">
        <w:rPr>
          <w:lang w:val="fr-FR"/>
        </w:rPr>
        <w:t>l</w:t>
      </w:r>
      <w:r w:rsidR="00B069E1" w:rsidRPr="00B069E1">
        <w:rPr>
          <w:lang w:val="fr-FR"/>
        </w:rPr>
        <w:t>’</w:t>
      </w:r>
      <w:r w:rsidRPr="00B069E1">
        <w:rPr>
          <w:lang w:val="fr-FR"/>
        </w:rPr>
        <w:t>autonomie normative du Parlement prévue à l</w:t>
      </w:r>
      <w:r w:rsidR="00B069E1" w:rsidRPr="00B069E1">
        <w:rPr>
          <w:lang w:val="fr-FR"/>
        </w:rPr>
        <w:t>’</w:t>
      </w:r>
      <w:r w:rsidRPr="00B069E1">
        <w:rPr>
          <w:lang w:val="fr-FR"/>
        </w:rPr>
        <w:t xml:space="preserve">article 64 de la Constitution et </w:t>
      </w:r>
      <w:r w:rsidRPr="00B069E1">
        <w:rPr>
          <w:bCs/>
          <w:color w:val="000000"/>
          <w:lang w:val="fr-FR"/>
        </w:rPr>
        <w:t>des</w:t>
      </w:r>
      <w:r w:rsidRPr="00B069E1">
        <w:rPr>
          <w:lang w:val="fr-FR"/>
        </w:rPr>
        <w:t xml:space="preserve"> normes spéciales établies par le règlement de la Chambre des députés, la compétence en matière de durée des procédures devant les organes juridictionnels de la Chambre des députés ne revient pas à la cour d</w:t>
      </w:r>
      <w:r w:rsidR="00B069E1" w:rsidRPr="00B069E1">
        <w:rPr>
          <w:lang w:val="fr-FR"/>
        </w:rPr>
        <w:t>’</w:t>
      </w:r>
      <w:r w:rsidRPr="00B069E1">
        <w:rPr>
          <w:lang w:val="fr-FR"/>
        </w:rPr>
        <w:t>appel, mais au collège d</w:t>
      </w:r>
      <w:r w:rsidR="00B069E1" w:rsidRPr="00B069E1">
        <w:rPr>
          <w:lang w:val="fr-FR"/>
        </w:rPr>
        <w:t>’</w:t>
      </w:r>
      <w:r w:rsidRPr="00B069E1">
        <w:rPr>
          <w:lang w:val="fr-FR"/>
        </w:rPr>
        <w:t>appel.</w:t>
      </w:r>
    </w:p>
    <w:p w:rsidR="00E53CC5" w:rsidRPr="00B069E1" w:rsidRDefault="00E53CC5" w:rsidP="00B069E1">
      <w:pPr>
        <w:pStyle w:val="ECHRPara"/>
        <w:rPr>
          <w:lang w:val="fr-FR"/>
        </w:rPr>
      </w:pPr>
      <w:r w:rsidRPr="00B069E1">
        <w:rPr>
          <w:lang w:val="fr-FR"/>
        </w:rPr>
        <w:fldChar w:fldCharType="begin"/>
      </w:r>
      <w:r w:rsidRPr="00B069E1">
        <w:rPr>
          <w:lang w:val="fr-FR"/>
        </w:rPr>
        <w:instrText xml:space="preserve"> SEQ level0 \*arabic </w:instrText>
      </w:r>
      <w:r w:rsidRPr="00B069E1">
        <w:rPr>
          <w:lang w:val="fr-FR"/>
        </w:rPr>
        <w:fldChar w:fldCharType="separate"/>
      </w:r>
      <w:r w:rsidR="00B069E1" w:rsidRPr="00B069E1">
        <w:rPr>
          <w:noProof/>
          <w:lang w:val="fr-FR"/>
        </w:rPr>
        <w:t>22</w:t>
      </w:r>
      <w:r w:rsidRPr="00B069E1">
        <w:rPr>
          <w:lang w:val="fr-FR"/>
        </w:rPr>
        <w:fldChar w:fldCharType="end"/>
      </w:r>
      <w:r w:rsidRPr="00B069E1">
        <w:rPr>
          <w:lang w:val="fr-FR"/>
        </w:rPr>
        <w:t>.  </w:t>
      </w:r>
      <w:r w:rsidR="00112709" w:rsidRPr="00B069E1">
        <w:rPr>
          <w:lang w:val="fr-FR"/>
        </w:rPr>
        <w:t>Elle constate</w:t>
      </w:r>
      <w:r w:rsidRPr="00B069E1">
        <w:rPr>
          <w:lang w:val="fr-FR"/>
        </w:rPr>
        <w:t xml:space="preserve"> </w:t>
      </w:r>
      <w:r w:rsidR="004B6493" w:rsidRPr="00B069E1">
        <w:rPr>
          <w:lang w:val="fr-FR"/>
        </w:rPr>
        <w:t xml:space="preserve">enfin </w:t>
      </w:r>
      <w:r w:rsidRPr="00B069E1">
        <w:rPr>
          <w:lang w:val="fr-FR"/>
        </w:rPr>
        <w:t xml:space="preserve">que, </w:t>
      </w:r>
      <w:r w:rsidR="00112709" w:rsidRPr="00B069E1">
        <w:rPr>
          <w:lang w:val="fr-FR"/>
        </w:rPr>
        <w:t xml:space="preserve">à la </w:t>
      </w:r>
      <w:r w:rsidRPr="00B069E1">
        <w:rPr>
          <w:lang w:val="fr-FR"/>
        </w:rPr>
        <w:t xml:space="preserve">suite </w:t>
      </w:r>
      <w:r w:rsidR="00112709" w:rsidRPr="00B069E1">
        <w:rPr>
          <w:lang w:val="fr-FR"/>
        </w:rPr>
        <w:t xml:space="preserve">de </w:t>
      </w:r>
      <w:r w:rsidRPr="00B069E1">
        <w:rPr>
          <w:lang w:val="fr-FR"/>
        </w:rPr>
        <w:t>l</w:t>
      </w:r>
      <w:r w:rsidR="00B069E1" w:rsidRPr="00B069E1">
        <w:rPr>
          <w:lang w:val="fr-FR"/>
        </w:rPr>
        <w:t>’</w:t>
      </w:r>
      <w:r w:rsidRPr="00B069E1">
        <w:rPr>
          <w:lang w:val="fr-FR"/>
        </w:rPr>
        <w:t xml:space="preserve">arrêt </w:t>
      </w:r>
      <w:r w:rsidRPr="00B069E1">
        <w:rPr>
          <w:i/>
          <w:lang w:val="fr-FR"/>
        </w:rPr>
        <w:t>Savino</w:t>
      </w:r>
      <w:r w:rsidR="00112709" w:rsidRPr="00B069E1">
        <w:rPr>
          <w:lang w:val="fr-FR"/>
        </w:rPr>
        <w:t xml:space="preserve"> </w:t>
      </w:r>
      <w:r w:rsidR="004B6493" w:rsidRPr="00B069E1">
        <w:rPr>
          <w:lang w:val="fr-FR"/>
        </w:rPr>
        <w:t>(</w:t>
      </w:r>
      <w:r w:rsidR="00112709" w:rsidRPr="00B069E1">
        <w:rPr>
          <w:lang w:val="fr-FR"/>
        </w:rPr>
        <w:t>précité</w:t>
      </w:r>
      <w:r w:rsidR="004B6493" w:rsidRPr="00B069E1">
        <w:rPr>
          <w:lang w:val="fr-FR"/>
        </w:rPr>
        <w:t>)</w:t>
      </w:r>
      <w:r w:rsidR="00112709" w:rsidRPr="00B069E1">
        <w:rPr>
          <w:lang w:val="fr-FR"/>
        </w:rPr>
        <w:t>,</w:t>
      </w:r>
      <w:r w:rsidRPr="00B069E1">
        <w:rPr>
          <w:lang w:val="fr-FR"/>
        </w:rPr>
        <w:t xml:space="preserve"> les autorités nationales ont reconnu, conformément à l</w:t>
      </w:r>
      <w:r w:rsidR="00B069E1" w:rsidRPr="00B069E1">
        <w:rPr>
          <w:lang w:val="fr-FR"/>
        </w:rPr>
        <w:t>’</w:t>
      </w:r>
      <w:r w:rsidRPr="00B069E1">
        <w:rPr>
          <w:lang w:val="fr-FR"/>
        </w:rPr>
        <w:t>approche adoptée dans cet arrêt, l</w:t>
      </w:r>
      <w:r w:rsidR="00B069E1" w:rsidRPr="00B069E1">
        <w:rPr>
          <w:lang w:val="fr-FR"/>
        </w:rPr>
        <w:t>’</w:t>
      </w:r>
      <w:r w:rsidRPr="00B069E1">
        <w:rPr>
          <w:lang w:val="fr-FR"/>
        </w:rPr>
        <w:t>applicabilité de l</w:t>
      </w:r>
      <w:r w:rsidR="00B069E1" w:rsidRPr="00B069E1">
        <w:rPr>
          <w:lang w:val="fr-FR"/>
        </w:rPr>
        <w:t>’</w:t>
      </w:r>
      <w:r w:rsidRPr="00B069E1">
        <w:rPr>
          <w:lang w:val="fr-FR"/>
        </w:rPr>
        <w:t xml:space="preserve">article 6 </w:t>
      </w:r>
      <w:r w:rsidR="00112709" w:rsidRPr="00B069E1">
        <w:rPr>
          <w:lang w:val="fr-FR"/>
        </w:rPr>
        <w:t xml:space="preserve">de la Convention </w:t>
      </w:r>
      <w:r w:rsidRPr="00B069E1">
        <w:rPr>
          <w:lang w:val="fr-FR"/>
        </w:rPr>
        <w:t xml:space="preserve">et, par conséquent, la protection accordée </w:t>
      </w:r>
      <w:r w:rsidR="000D2496" w:rsidRPr="00B069E1">
        <w:rPr>
          <w:lang w:val="fr-FR"/>
        </w:rPr>
        <w:t>par la loi Pinto au contentieux</w:t>
      </w:r>
      <w:r w:rsidRPr="00B069E1">
        <w:rPr>
          <w:lang w:val="fr-FR"/>
        </w:rPr>
        <w:t xml:space="preserve"> entre la Chambre des députés et ses fonctionnaires.</w:t>
      </w:r>
      <w:r w:rsidR="0041362C" w:rsidRPr="00B069E1">
        <w:rPr>
          <w:lang w:val="fr-FR"/>
        </w:rPr>
        <w:t xml:space="preserve"> </w:t>
      </w:r>
      <w:r w:rsidR="00112709" w:rsidRPr="00B069E1">
        <w:rPr>
          <w:lang w:val="fr-FR"/>
        </w:rPr>
        <w:t>Elle observe que, d</w:t>
      </w:r>
      <w:r w:rsidR="0041362C" w:rsidRPr="00B069E1">
        <w:rPr>
          <w:lang w:val="fr-FR"/>
        </w:rPr>
        <w:t xml:space="preserve">e plus, les juridictions internes ont reconnu </w:t>
      </w:r>
      <w:r w:rsidR="00C56891" w:rsidRPr="00B069E1">
        <w:rPr>
          <w:lang w:val="fr-FR"/>
        </w:rPr>
        <w:t xml:space="preserve">devant la section juridictionnelle </w:t>
      </w:r>
      <w:r w:rsidR="0041362C" w:rsidRPr="00B069E1">
        <w:rPr>
          <w:lang w:val="fr-FR"/>
        </w:rPr>
        <w:t>la violation de l</w:t>
      </w:r>
      <w:r w:rsidR="00B069E1" w:rsidRPr="00B069E1">
        <w:rPr>
          <w:lang w:val="fr-FR"/>
        </w:rPr>
        <w:t>’article </w:t>
      </w:r>
      <w:r w:rsidR="0041362C" w:rsidRPr="00B069E1">
        <w:rPr>
          <w:lang w:val="fr-FR"/>
        </w:rPr>
        <w:t>6 § 1 de la Convention</w:t>
      </w:r>
      <w:r w:rsidR="00272D89" w:rsidRPr="00B069E1">
        <w:rPr>
          <w:lang w:val="fr-FR"/>
        </w:rPr>
        <w:t xml:space="preserve"> </w:t>
      </w:r>
      <w:r w:rsidR="00C56891" w:rsidRPr="00B069E1">
        <w:rPr>
          <w:lang w:val="fr-FR"/>
        </w:rPr>
        <w:t xml:space="preserve">à </w:t>
      </w:r>
      <w:r w:rsidR="0041362C" w:rsidRPr="00B069E1">
        <w:rPr>
          <w:lang w:val="fr-FR"/>
        </w:rPr>
        <w:t>raison de la durée de la procédure.</w:t>
      </w:r>
    </w:p>
    <w:p w:rsidR="00D56222" w:rsidRPr="00B069E1" w:rsidRDefault="00E53CC5" w:rsidP="00B069E1">
      <w:pPr>
        <w:pStyle w:val="ECHRPara"/>
        <w:rPr>
          <w:lang w:val="fr-FR"/>
        </w:rPr>
      </w:pPr>
      <w:r w:rsidRPr="00B069E1">
        <w:rPr>
          <w:lang w:val="fr-FR"/>
        </w:rPr>
        <w:fldChar w:fldCharType="begin"/>
      </w:r>
      <w:r w:rsidRPr="00B069E1">
        <w:rPr>
          <w:lang w:val="fr-FR"/>
        </w:rPr>
        <w:instrText xml:space="preserve"> SEQ level0 \*arabic </w:instrText>
      </w:r>
      <w:r w:rsidRPr="00B069E1">
        <w:rPr>
          <w:lang w:val="fr-FR"/>
        </w:rPr>
        <w:fldChar w:fldCharType="separate"/>
      </w:r>
      <w:r w:rsidR="00B069E1" w:rsidRPr="00B069E1">
        <w:rPr>
          <w:noProof/>
          <w:lang w:val="fr-FR"/>
        </w:rPr>
        <w:t>23</w:t>
      </w:r>
      <w:r w:rsidRPr="00B069E1">
        <w:rPr>
          <w:lang w:val="fr-FR"/>
        </w:rPr>
        <w:fldChar w:fldCharType="end"/>
      </w:r>
      <w:r w:rsidRPr="00B069E1">
        <w:rPr>
          <w:lang w:val="fr-FR"/>
        </w:rPr>
        <w:t>. </w:t>
      </w:r>
      <w:r w:rsidR="00E0725A" w:rsidRPr="00B069E1">
        <w:rPr>
          <w:lang w:val="fr-FR"/>
        </w:rPr>
        <w:t> </w:t>
      </w:r>
      <w:r w:rsidR="00C56891" w:rsidRPr="00B069E1">
        <w:rPr>
          <w:lang w:val="fr-FR"/>
        </w:rPr>
        <w:t>Cela dit</w:t>
      </w:r>
      <w:r w:rsidR="0071373F" w:rsidRPr="00B069E1">
        <w:rPr>
          <w:lang w:val="fr-FR"/>
        </w:rPr>
        <w:t>, l</w:t>
      </w:r>
      <w:r w:rsidR="00D56222" w:rsidRPr="00B069E1">
        <w:rPr>
          <w:lang w:val="fr-FR"/>
        </w:rPr>
        <w:t>a Cour réaffirme qu</w:t>
      </w:r>
      <w:r w:rsidR="00B069E1" w:rsidRPr="00B069E1">
        <w:rPr>
          <w:lang w:val="fr-FR"/>
        </w:rPr>
        <w:t>’</w:t>
      </w:r>
      <w:r w:rsidR="00D56222" w:rsidRPr="00B069E1">
        <w:rPr>
          <w:lang w:val="fr-FR"/>
        </w:rPr>
        <w:t>une décision ou une mesure favorable au requérant ne suffit en princ</w:t>
      </w:r>
      <w:r w:rsidR="006C1D0C" w:rsidRPr="00B069E1">
        <w:rPr>
          <w:lang w:val="fr-FR"/>
        </w:rPr>
        <w:t xml:space="preserve">ipe à lui retirer la qualité de </w:t>
      </w:r>
      <w:r w:rsidR="00D56222" w:rsidRPr="00B069E1">
        <w:rPr>
          <w:lang w:val="fr-FR"/>
        </w:rPr>
        <w:t>«</w:t>
      </w:r>
      <w:r w:rsidR="006405D5" w:rsidRPr="00B069E1">
        <w:rPr>
          <w:lang w:val="fr-FR"/>
        </w:rPr>
        <w:t> </w:t>
      </w:r>
      <w:r w:rsidR="00D56222" w:rsidRPr="00B069E1">
        <w:rPr>
          <w:lang w:val="fr-FR"/>
        </w:rPr>
        <w:t>victime</w:t>
      </w:r>
      <w:r w:rsidR="006405D5" w:rsidRPr="00B069E1">
        <w:rPr>
          <w:lang w:val="fr-FR"/>
        </w:rPr>
        <w:t> </w:t>
      </w:r>
      <w:r w:rsidR="00D56222" w:rsidRPr="00B069E1">
        <w:rPr>
          <w:lang w:val="fr-FR"/>
        </w:rPr>
        <w:t xml:space="preserve">» que si les autorités nationales ont reconnu, explicitement ou en substance, puis réparé la violation de la Convention (voir, par exemple, </w:t>
      </w:r>
      <w:r w:rsidR="00D56222" w:rsidRPr="00B069E1">
        <w:rPr>
          <w:i/>
          <w:lang w:val="fr-FR"/>
        </w:rPr>
        <w:t>Eckle c. Allemagne</w:t>
      </w:r>
      <w:r w:rsidR="00D56222" w:rsidRPr="00B069E1">
        <w:rPr>
          <w:lang w:val="fr-FR"/>
        </w:rPr>
        <w:t>, 15 juillet 1982, §§ 69 et suiv</w:t>
      </w:r>
      <w:r w:rsidR="00C56891" w:rsidRPr="00B069E1">
        <w:rPr>
          <w:lang w:val="fr-FR"/>
        </w:rPr>
        <w:t>ants</w:t>
      </w:r>
      <w:r w:rsidR="00D56222" w:rsidRPr="00B069E1">
        <w:rPr>
          <w:lang w:val="fr-FR"/>
        </w:rPr>
        <w:t>, série A n</w:t>
      </w:r>
      <w:r w:rsidR="00276B20" w:rsidRPr="00B069E1">
        <w:rPr>
          <w:vertAlign w:val="superscript"/>
          <w:lang w:val="fr-FR"/>
        </w:rPr>
        <w:t>o</w:t>
      </w:r>
      <w:r w:rsidR="00D56222" w:rsidRPr="00B069E1">
        <w:rPr>
          <w:lang w:val="fr-FR"/>
        </w:rPr>
        <w:t xml:space="preserve"> 51, </w:t>
      </w:r>
      <w:r w:rsidR="00B069E1" w:rsidRPr="00B069E1">
        <w:rPr>
          <w:i/>
          <w:lang w:val="fr-FR"/>
        </w:rPr>
        <w:t xml:space="preserve">Amuur c. </w:t>
      </w:r>
      <w:r w:rsidR="00D56222" w:rsidRPr="00B069E1">
        <w:rPr>
          <w:i/>
          <w:lang w:val="fr-FR"/>
        </w:rPr>
        <w:t>France</w:t>
      </w:r>
      <w:r w:rsidR="00B069E1" w:rsidRPr="00B069E1">
        <w:rPr>
          <w:lang w:val="fr-FR"/>
        </w:rPr>
        <w:t xml:space="preserve">, 25 juin </w:t>
      </w:r>
      <w:r w:rsidR="00D56222" w:rsidRPr="00B069E1">
        <w:rPr>
          <w:lang w:val="fr-FR"/>
        </w:rPr>
        <w:t xml:space="preserve">1996, § 36, </w:t>
      </w:r>
      <w:r w:rsidR="00D56222" w:rsidRPr="00B069E1">
        <w:rPr>
          <w:i/>
          <w:lang w:val="fr-FR"/>
        </w:rPr>
        <w:t xml:space="preserve">Recueil </w:t>
      </w:r>
      <w:r w:rsidR="00C56891" w:rsidRPr="00B069E1">
        <w:rPr>
          <w:i/>
          <w:lang w:val="fr-FR"/>
        </w:rPr>
        <w:t>des arrêts et décisions</w:t>
      </w:r>
      <w:r w:rsidR="00C56891" w:rsidRPr="00B069E1">
        <w:rPr>
          <w:lang w:val="fr-FR"/>
        </w:rPr>
        <w:t xml:space="preserve"> </w:t>
      </w:r>
      <w:r w:rsidR="00D56222" w:rsidRPr="00B069E1">
        <w:rPr>
          <w:lang w:val="fr-FR"/>
        </w:rPr>
        <w:t xml:space="preserve">1996-III, </w:t>
      </w:r>
      <w:r w:rsidR="00D56222" w:rsidRPr="00B069E1">
        <w:rPr>
          <w:i/>
          <w:lang w:val="fr-FR"/>
        </w:rPr>
        <w:t>Dalban c. Roumanie</w:t>
      </w:r>
      <w:r w:rsidR="00D56222" w:rsidRPr="00B069E1">
        <w:rPr>
          <w:lang w:val="fr-FR"/>
        </w:rPr>
        <w:t xml:space="preserve"> [GC], n</w:t>
      </w:r>
      <w:r w:rsidR="00276B20" w:rsidRPr="00B069E1">
        <w:rPr>
          <w:vertAlign w:val="superscript"/>
          <w:lang w:val="fr-FR"/>
        </w:rPr>
        <w:t>o</w:t>
      </w:r>
      <w:r w:rsidR="006C1D0C" w:rsidRPr="00B069E1">
        <w:rPr>
          <w:lang w:val="fr-FR"/>
        </w:rPr>
        <w:t> </w:t>
      </w:r>
      <w:r w:rsidR="00D56222" w:rsidRPr="00B069E1">
        <w:rPr>
          <w:lang w:val="fr-FR"/>
        </w:rPr>
        <w:t>2811</w:t>
      </w:r>
      <w:r w:rsidR="002931C0" w:rsidRPr="00B069E1">
        <w:rPr>
          <w:lang w:val="fr-FR"/>
        </w:rPr>
        <w:t xml:space="preserve">4/95, § 44, CEDH 1999-VI, et </w:t>
      </w:r>
      <w:r w:rsidR="00D56222" w:rsidRPr="00B069E1">
        <w:rPr>
          <w:i/>
          <w:lang w:val="fr-FR"/>
        </w:rPr>
        <w:t>Jensen c. Danemark</w:t>
      </w:r>
      <w:r w:rsidR="00D56222" w:rsidRPr="00B069E1">
        <w:rPr>
          <w:lang w:val="fr-FR"/>
        </w:rPr>
        <w:t xml:space="preserve"> (déc.), n</w:t>
      </w:r>
      <w:r w:rsidR="00276B20" w:rsidRPr="00B069E1">
        <w:rPr>
          <w:vertAlign w:val="superscript"/>
          <w:lang w:val="fr-FR"/>
        </w:rPr>
        <w:t>o</w:t>
      </w:r>
      <w:r w:rsidR="006C1D0C" w:rsidRPr="00B069E1">
        <w:rPr>
          <w:lang w:val="fr-FR"/>
        </w:rPr>
        <w:t> </w:t>
      </w:r>
      <w:r w:rsidR="00D56222" w:rsidRPr="00B069E1">
        <w:rPr>
          <w:lang w:val="fr-FR"/>
        </w:rPr>
        <w:t>48470/99, CEDH 2001-X).</w:t>
      </w:r>
      <w:r w:rsidR="0071373F" w:rsidRPr="00B069E1">
        <w:rPr>
          <w:lang w:val="fr-FR"/>
        </w:rPr>
        <w:t xml:space="preserve"> </w:t>
      </w:r>
      <w:r w:rsidR="00E24396" w:rsidRPr="00B069E1">
        <w:rPr>
          <w:lang w:val="fr-FR"/>
        </w:rPr>
        <w:t>Elle</w:t>
      </w:r>
      <w:r w:rsidR="0071373F" w:rsidRPr="00B069E1">
        <w:rPr>
          <w:lang w:val="fr-FR"/>
        </w:rPr>
        <w:t xml:space="preserve"> estime que </w:t>
      </w:r>
      <w:r w:rsidR="006405D5" w:rsidRPr="00B069E1">
        <w:rPr>
          <w:lang w:val="fr-FR"/>
        </w:rPr>
        <w:t>c</w:t>
      </w:r>
      <w:r w:rsidR="0071373F" w:rsidRPr="00B069E1">
        <w:rPr>
          <w:lang w:val="fr-FR"/>
        </w:rPr>
        <w:t>es deux conditions ne sont pas remplies en l</w:t>
      </w:r>
      <w:r w:rsidR="00B069E1" w:rsidRPr="00B069E1">
        <w:rPr>
          <w:lang w:val="fr-FR"/>
        </w:rPr>
        <w:t>’</w:t>
      </w:r>
      <w:r w:rsidR="0071373F" w:rsidRPr="00B069E1">
        <w:rPr>
          <w:lang w:val="fr-FR"/>
        </w:rPr>
        <w:t>espèce.</w:t>
      </w:r>
    </w:p>
    <w:p w:rsidR="00272D89" w:rsidRPr="00B069E1" w:rsidRDefault="008C5D18" w:rsidP="00B069E1">
      <w:pPr>
        <w:pStyle w:val="ECHRPara"/>
        <w:rPr>
          <w:lang w:val="fr-FR"/>
        </w:rPr>
      </w:pPr>
      <w:r w:rsidRPr="00B069E1">
        <w:rPr>
          <w:lang w:val="fr-FR"/>
        </w:rPr>
        <w:fldChar w:fldCharType="begin"/>
      </w:r>
      <w:r w:rsidRPr="00B069E1">
        <w:rPr>
          <w:lang w:val="fr-FR"/>
        </w:rPr>
        <w:instrText xml:space="preserve"> SEQ level0 \*arabic </w:instrText>
      </w:r>
      <w:r w:rsidRPr="00B069E1">
        <w:rPr>
          <w:lang w:val="fr-FR"/>
        </w:rPr>
        <w:fldChar w:fldCharType="separate"/>
      </w:r>
      <w:r w:rsidR="00B069E1" w:rsidRPr="00B069E1">
        <w:rPr>
          <w:noProof/>
          <w:lang w:val="fr-FR"/>
        </w:rPr>
        <w:t>24</w:t>
      </w:r>
      <w:r w:rsidRPr="00B069E1">
        <w:rPr>
          <w:lang w:val="fr-FR"/>
        </w:rPr>
        <w:fldChar w:fldCharType="end"/>
      </w:r>
      <w:r w:rsidR="00E0725A" w:rsidRPr="00B069E1">
        <w:rPr>
          <w:lang w:val="fr-FR"/>
        </w:rPr>
        <w:t>.  </w:t>
      </w:r>
      <w:r w:rsidRPr="00B069E1">
        <w:rPr>
          <w:lang w:val="fr-FR"/>
        </w:rPr>
        <w:t xml:space="preserve">En </w:t>
      </w:r>
      <w:r w:rsidR="00740F59" w:rsidRPr="00B069E1">
        <w:rPr>
          <w:lang w:val="fr-FR"/>
        </w:rPr>
        <w:t xml:space="preserve">effet, </w:t>
      </w:r>
      <w:r w:rsidR="00A974E4" w:rsidRPr="00B069E1">
        <w:rPr>
          <w:lang w:val="fr-FR"/>
        </w:rPr>
        <w:t xml:space="preserve">la Cour </w:t>
      </w:r>
      <w:r w:rsidR="00740F59" w:rsidRPr="00B069E1">
        <w:rPr>
          <w:lang w:val="fr-FR"/>
        </w:rPr>
        <w:t xml:space="preserve">note en premier lieu </w:t>
      </w:r>
      <w:r w:rsidR="0041362C" w:rsidRPr="00B069E1">
        <w:rPr>
          <w:lang w:val="fr-FR"/>
        </w:rPr>
        <w:t xml:space="preserve">que le </w:t>
      </w:r>
      <w:r w:rsidR="006405D5" w:rsidRPr="00B069E1">
        <w:rPr>
          <w:lang w:val="fr-FR"/>
        </w:rPr>
        <w:t>c</w:t>
      </w:r>
      <w:r w:rsidR="0041362C" w:rsidRPr="00B069E1">
        <w:rPr>
          <w:lang w:val="fr-FR"/>
        </w:rPr>
        <w:t>ollège d</w:t>
      </w:r>
      <w:r w:rsidR="00B069E1" w:rsidRPr="00B069E1">
        <w:rPr>
          <w:lang w:val="fr-FR"/>
        </w:rPr>
        <w:t>’</w:t>
      </w:r>
      <w:r w:rsidR="0041362C" w:rsidRPr="00B069E1">
        <w:rPr>
          <w:lang w:val="fr-FR"/>
        </w:rPr>
        <w:t xml:space="preserve">appel a considéré </w:t>
      </w:r>
      <w:r w:rsidR="006405D5" w:rsidRPr="00B069E1">
        <w:rPr>
          <w:lang w:val="fr-FR"/>
        </w:rPr>
        <w:t>qu</w:t>
      </w:r>
      <w:r w:rsidR="00B069E1" w:rsidRPr="00B069E1">
        <w:rPr>
          <w:lang w:val="fr-FR"/>
        </w:rPr>
        <w:t>’</w:t>
      </w:r>
      <w:r w:rsidR="006405D5" w:rsidRPr="00B069E1">
        <w:rPr>
          <w:lang w:val="fr-FR"/>
        </w:rPr>
        <w:t>il n</w:t>
      </w:r>
      <w:r w:rsidR="00B069E1" w:rsidRPr="00B069E1">
        <w:rPr>
          <w:lang w:val="fr-FR"/>
        </w:rPr>
        <w:t>’</w:t>
      </w:r>
      <w:r w:rsidR="006405D5" w:rsidRPr="00B069E1">
        <w:rPr>
          <w:lang w:val="fr-FR"/>
        </w:rPr>
        <w:t xml:space="preserve">y avait pas lieu de prendre en compte </w:t>
      </w:r>
      <w:r w:rsidR="0041362C" w:rsidRPr="00B069E1">
        <w:rPr>
          <w:lang w:val="fr-FR"/>
        </w:rPr>
        <w:t>la procédure en première instance puisque</w:t>
      </w:r>
      <w:r w:rsidR="006405D5" w:rsidRPr="00B069E1">
        <w:rPr>
          <w:lang w:val="fr-FR"/>
        </w:rPr>
        <w:t xml:space="preserve">, selon </w:t>
      </w:r>
      <w:r w:rsidR="00AC1B83" w:rsidRPr="00B069E1">
        <w:rPr>
          <w:lang w:val="fr-FR"/>
        </w:rPr>
        <w:t>ce collège</w:t>
      </w:r>
      <w:r w:rsidR="006405D5" w:rsidRPr="00B069E1">
        <w:rPr>
          <w:lang w:val="fr-FR"/>
        </w:rPr>
        <w:t>,</w:t>
      </w:r>
      <w:r w:rsidR="0041362C" w:rsidRPr="00B069E1">
        <w:rPr>
          <w:lang w:val="fr-FR"/>
        </w:rPr>
        <w:t xml:space="preserve"> les requérants auraient dû saisir </w:t>
      </w:r>
      <w:r w:rsidR="004459D5" w:rsidRPr="00B069E1">
        <w:rPr>
          <w:lang w:val="fr-FR"/>
        </w:rPr>
        <w:t xml:space="preserve">les organes de Strasbourg </w:t>
      </w:r>
      <w:r w:rsidR="0041362C" w:rsidRPr="00B069E1">
        <w:rPr>
          <w:lang w:val="fr-FR"/>
        </w:rPr>
        <w:t>dans les six</w:t>
      </w:r>
      <w:r w:rsidR="006405D5" w:rsidRPr="00B069E1">
        <w:rPr>
          <w:lang w:val="fr-FR"/>
        </w:rPr>
        <w:t> </w:t>
      </w:r>
      <w:r w:rsidR="0041362C" w:rsidRPr="00B069E1">
        <w:rPr>
          <w:lang w:val="fr-FR"/>
        </w:rPr>
        <w:t xml:space="preserve">mois à </w:t>
      </w:r>
      <w:r w:rsidR="006405D5" w:rsidRPr="00B069E1">
        <w:rPr>
          <w:lang w:val="fr-FR"/>
        </w:rPr>
        <w:t xml:space="preserve">compter </w:t>
      </w:r>
      <w:r w:rsidR="0041362C" w:rsidRPr="00B069E1">
        <w:rPr>
          <w:lang w:val="fr-FR"/>
        </w:rPr>
        <w:t>de la décisio</w:t>
      </w:r>
      <w:r w:rsidR="0037148D" w:rsidRPr="00B069E1">
        <w:rPr>
          <w:lang w:val="fr-FR"/>
        </w:rPr>
        <w:t xml:space="preserve">n de la </w:t>
      </w:r>
      <w:r w:rsidR="006405D5" w:rsidRPr="00B069E1">
        <w:rPr>
          <w:lang w:val="fr-FR"/>
        </w:rPr>
        <w:t>c</w:t>
      </w:r>
      <w:r w:rsidR="0037148D" w:rsidRPr="00B069E1">
        <w:rPr>
          <w:lang w:val="fr-FR"/>
        </w:rPr>
        <w:t>ommission (paragraphe 8</w:t>
      </w:r>
      <w:r w:rsidR="0041362C" w:rsidRPr="00B069E1">
        <w:rPr>
          <w:lang w:val="fr-FR"/>
        </w:rPr>
        <w:t xml:space="preserve"> ci</w:t>
      </w:r>
      <w:r w:rsidR="006405D5" w:rsidRPr="00B069E1">
        <w:rPr>
          <w:lang w:val="fr-FR"/>
        </w:rPr>
        <w:noBreakHyphen/>
      </w:r>
      <w:r w:rsidR="0041362C" w:rsidRPr="00B069E1">
        <w:rPr>
          <w:lang w:val="fr-FR"/>
        </w:rPr>
        <w:t>dessus).</w:t>
      </w:r>
    </w:p>
    <w:p w:rsidR="00272D89" w:rsidRPr="00B069E1" w:rsidRDefault="00FF1FFD" w:rsidP="00B069E1">
      <w:pPr>
        <w:pStyle w:val="ECHRPara"/>
        <w:rPr>
          <w:lang w:val="fr-FR"/>
        </w:rPr>
      </w:pPr>
      <w:r w:rsidRPr="00B069E1">
        <w:rPr>
          <w:lang w:val="fr-FR"/>
        </w:rPr>
        <w:fldChar w:fldCharType="begin"/>
      </w:r>
      <w:r w:rsidRPr="00B069E1">
        <w:rPr>
          <w:lang w:val="fr-FR"/>
        </w:rPr>
        <w:instrText xml:space="preserve"> SEQ level0 \*arabic </w:instrText>
      </w:r>
      <w:r w:rsidRPr="00B069E1">
        <w:rPr>
          <w:lang w:val="fr-FR"/>
        </w:rPr>
        <w:fldChar w:fldCharType="separate"/>
      </w:r>
      <w:r w:rsidR="00B069E1" w:rsidRPr="00B069E1">
        <w:rPr>
          <w:noProof/>
          <w:lang w:val="fr-FR"/>
        </w:rPr>
        <w:t>25</w:t>
      </w:r>
      <w:r w:rsidRPr="00B069E1">
        <w:rPr>
          <w:lang w:val="fr-FR"/>
        </w:rPr>
        <w:fldChar w:fldCharType="end"/>
      </w:r>
      <w:r w:rsidR="003F7935" w:rsidRPr="00B069E1">
        <w:rPr>
          <w:lang w:val="fr-FR"/>
        </w:rPr>
        <w:t>.</w:t>
      </w:r>
      <w:r w:rsidR="00E0725A" w:rsidRPr="00B069E1">
        <w:rPr>
          <w:lang w:val="fr-FR"/>
        </w:rPr>
        <w:t>  </w:t>
      </w:r>
      <w:r w:rsidR="00A974E4" w:rsidRPr="00B069E1">
        <w:rPr>
          <w:lang w:val="fr-FR"/>
        </w:rPr>
        <w:t>E</w:t>
      </w:r>
      <w:r w:rsidR="00907290" w:rsidRPr="00B069E1">
        <w:rPr>
          <w:lang w:val="fr-FR"/>
        </w:rPr>
        <w:t xml:space="preserve">n tout cas la Cour </w:t>
      </w:r>
      <w:r w:rsidR="0085111E" w:rsidRPr="00B069E1">
        <w:rPr>
          <w:lang w:val="fr-FR"/>
        </w:rPr>
        <w:t xml:space="preserve">considère que la durée de la procédure </w:t>
      </w:r>
      <w:r w:rsidR="00BB0293" w:rsidRPr="00B069E1">
        <w:rPr>
          <w:lang w:val="fr-FR"/>
        </w:rPr>
        <w:t>s</w:t>
      </w:r>
      <w:r w:rsidR="00B069E1" w:rsidRPr="00B069E1">
        <w:rPr>
          <w:lang w:val="fr-FR"/>
        </w:rPr>
        <w:t>’</w:t>
      </w:r>
      <w:r w:rsidR="00BB0293" w:rsidRPr="00B069E1">
        <w:rPr>
          <w:lang w:val="fr-FR"/>
        </w:rPr>
        <w:t>analyse</w:t>
      </w:r>
      <w:r w:rsidR="0085111E" w:rsidRPr="00B069E1">
        <w:rPr>
          <w:lang w:val="fr-FR"/>
        </w:rPr>
        <w:t xml:space="preserve"> en une </w:t>
      </w:r>
      <w:r w:rsidR="006C1D0C" w:rsidRPr="00B069E1">
        <w:rPr>
          <w:lang w:val="fr-FR"/>
        </w:rPr>
        <w:t>« </w:t>
      </w:r>
      <w:r w:rsidR="0085111E" w:rsidRPr="00B069E1">
        <w:rPr>
          <w:lang w:val="fr-FR"/>
        </w:rPr>
        <w:t>situation continue</w:t>
      </w:r>
      <w:r w:rsidR="00BF288C" w:rsidRPr="00B069E1">
        <w:rPr>
          <w:lang w:val="fr-FR"/>
        </w:rPr>
        <w:t> </w:t>
      </w:r>
      <w:r w:rsidR="0085111E" w:rsidRPr="00B069E1">
        <w:rPr>
          <w:lang w:val="fr-FR"/>
        </w:rPr>
        <w:t xml:space="preserve">», qui, dans </w:t>
      </w:r>
      <w:r w:rsidR="00AC1B83" w:rsidRPr="00B069E1">
        <w:rPr>
          <w:lang w:val="fr-FR"/>
        </w:rPr>
        <w:t xml:space="preserve">la présente </w:t>
      </w:r>
      <w:r w:rsidR="00ED12FC" w:rsidRPr="00B069E1">
        <w:rPr>
          <w:lang w:val="fr-FR"/>
        </w:rPr>
        <w:t xml:space="preserve">espèce, </w:t>
      </w:r>
      <w:r w:rsidR="0085111E" w:rsidRPr="00B069E1">
        <w:rPr>
          <w:lang w:val="fr-FR"/>
        </w:rPr>
        <w:t>a pris fin le 26</w:t>
      </w:r>
      <w:r w:rsidR="00BF288C" w:rsidRPr="00B069E1">
        <w:rPr>
          <w:lang w:val="fr-FR"/>
        </w:rPr>
        <w:t> </w:t>
      </w:r>
      <w:r w:rsidR="0085111E" w:rsidRPr="00B069E1">
        <w:rPr>
          <w:lang w:val="fr-FR"/>
        </w:rPr>
        <w:t>janvier</w:t>
      </w:r>
      <w:r w:rsidR="00B069E1" w:rsidRPr="00B069E1">
        <w:rPr>
          <w:lang w:val="fr-FR"/>
        </w:rPr>
        <w:t xml:space="preserve"> </w:t>
      </w:r>
      <w:r w:rsidR="0085111E" w:rsidRPr="00B069E1">
        <w:rPr>
          <w:lang w:val="fr-FR"/>
        </w:rPr>
        <w:t xml:space="preserve">2009, jour du dépôt </w:t>
      </w:r>
      <w:r w:rsidR="00BF288C" w:rsidRPr="00B069E1">
        <w:rPr>
          <w:lang w:val="fr-FR"/>
        </w:rPr>
        <w:t xml:space="preserve">au greffe </w:t>
      </w:r>
      <w:r w:rsidR="0085111E" w:rsidRPr="00B069E1">
        <w:rPr>
          <w:lang w:val="fr-FR"/>
        </w:rPr>
        <w:t>de l</w:t>
      </w:r>
      <w:r w:rsidR="00B069E1" w:rsidRPr="00B069E1">
        <w:rPr>
          <w:lang w:val="fr-FR"/>
        </w:rPr>
        <w:t>’</w:t>
      </w:r>
      <w:r w:rsidR="0085111E" w:rsidRPr="00B069E1">
        <w:rPr>
          <w:lang w:val="fr-FR"/>
        </w:rPr>
        <w:t xml:space="preserve">arrêt de la </w:t>
      </w:r>
      <w:r w:rsidR="00BF288C" w:rsidRPr="00B069E1">
        <w:rPr>
          <w:lang w:val="fr-FR"/>
        </w:rPr>
        <w:t>s</w:t>
      </w:r>
      <w:r w:rsidR="0085111E" w:rsidRPr="00B069E1">
        <w:rPr>
          <w:lang w:val="fr-FR"/>
        </w:rPr>
        <w:t xml:space="preserve">ection juridictionnelle </w:t>
      </w:r>
      <w:r w:rsidR="0037148D" w:rsidRPr="00B069E1">
        <w:rPr>
          <w:lang w:val="fr-FR"/>
        </w:rPr>
        <w:t>(paragraphe 6</w:t>
      </w:r>
      <w:r w:rsidR="0085111E" w:rsidRPr="00B069E1">
        <w:rPr>
          <w:lang w:val="fr-FR"/>
        </w:rPr>
        <w:t xml:space="preserve"> ci-dessus). </w:t>
      </w:r>
      <w:r w:rsidR="001F1B6D" w:rsidRPr="00B069E1">
        <w:rPr>
          <w:lang w:val="fr-FR"/>
        </w:rPr>
        <w:t xml:space="preserve">En outre, elle estime que les requérants </w:t>
      </w:r>
      <w:r w:rsidR="00BF1219" w:rsidRPr="00B069E1">
        <w:rPr>
          <w:lang w:val="fr-FR"/>
        </w:rPr>
        <w:t xml:space="preserve">auraient dû </w:t>
      </w:r>
      <w:r w:rsidR="001F1B6D" w:rsidRPr="00B069E1">
        <w:rPr>
          <w:lang w:val="fr-FR"/>
        </w:rPr>
        <w:t>avoir la possibilité d</w:t>
      </w:r>
      <w:r w:rsidR="00B069E1" w:rsidRPr="00B069E1">
        <w:rPr>
          <w:lang w:val="fr-FR"/>
        </w:rPr>
        <w:t>’</w:t>
      </w:r>
      <w:r w:rsidR="001F1B6D" w:rsidRPr="00B069E1">
        <w:rPr>
          <w:lang w:val="fr-FR"/>
        </w:rPr>
        <w:t>alléguer devant les juridictions internes la violation de l</w:t>
      </w:r>
      <w:r w:rsidR="00B069E1" w:rsidRPr="00B069E1">
        <w:rPr>
          <w:lang w:val="fr-FR"/>
        </w:rPr>
        <w:t>’</w:t>
      </w:r>
      <w:r w:rsidR="001F1B6D" w:rsidRPr="00B069E1">
        <w:rPr>
          <w:lang w:val="fr-FR"/>
        </w:rPr>
        <w:t>article 6 de la Convention pour l</w:t>
      </w:r>
      <w:r w:rsidR="00B069E1" w:rsidRPr="00B069E1">
        <w:rPr>
          <w:lang w:val="fr-FR"/>
        </w:rPr>
        <w:t>’</w:t>
      </w:r>
      <w:r w:rsidR="001F1B6D" w:rsidRPr="00B069E1">
        <w:rPr>
          <w:lang w:val="fr-FR"/>
        </w:rPr>
        <w:t xml:space="preserve">ensemble de la procédure litigieuse. </w:t>
      </w:r>
      <w:r w:rsidR="00FF0D61" w:rsidRPr="00B069E1">
        <w:rPr>
          <w:lang w:val="fr-FR"/>
        </w:rPr>
        <w:t>E</w:t>
      </w:r>
      <w:r w:rsidR="00BF288C" w:rsidRPr="00B069E1">
        <w:rPr>
          <w:lang w:val="fr-FR"/>
        </w:rPr>
        <w:t>lle</w:t>
      </w:r>
      <w:r w:rsidRPr="00B069E1">
        <w:rPr>
          <w:lang w:val="fr-FR"/>
        </w:rPr>
        <w:t xml:space="preserve"> </w:t>
      </w:r>
      <w:r w:rsidR="00FF0D61" w:rsidRPr="00B069E1">
        <w:rPr>
          <w:lang w:val="fr-FR"/>
        </w:rPr>
        <w:t xml:space="preserve">note </w:t>
      </w:r>
      <w:r w:rsidRPr="00B069E1">
        <w:rPr>
          <w:lang w:val="fr-FR"/>
        </w:rPr>
        <w:t>que les juridictions internes</w:t>
      </w:r>
      <w:r w:rsidR="00ED12FC" w:rsidRPr="00B069E1">
        <w:rPr>
          <w:lang w:val="fr-FR"/>
        </w:rPr>
        <w:t xml:space="preserve"> </w:t>
      </w:r>
      <w:r w:rsidR="00BF1219" w:rsidRPr="00B069E1">
        <w:rPr>
          <w:lang w:val="fr-FR"/>
        </w:rPr>
        <w:t>ont écarté de leur examen</w:t>
      </w:r>
      <w:r w:rsidRPr="00B069E1">
        <w:rPr>
          <w:lang w:val="fr-FR"/>
        </w:rPr>
        <w:t xml:space="preserve"> une partie de la procédure principale</w:t>
      </w:r>
      <w:r w:rsidR="00FF0D61" w:rsidRPr="00B069E1">
        <w:rPr>
          <w:lang w:val="fr-FR"/>
        </w:rPr>
        <w:t>. Il s</w:t>
      </w:r>
      <w:r w:rsidR="00B069E1" w:rsidRPr="00B069E1">
        <w:rPr>
          <w:lang w:val="fr-FR"/>
        </w:rPr>
        <w:t>’</w:t>
      </w:r>
      <w:r w:rsidR="00FF0D61" w:rsidRPr="00B069E1">
        <w:rPr>
          <w:lang w:val="fr-FR"/>
        </w:rPr>
        <w:t>ensuit que, pour cette partie de la procédure, il n</w:t>
      </w:r>
      <w:r w:rsidR="00B069E1" w:rsidRPr="00B069E1">
        <w:rPr>
          <w:lang w:val="fr-FR"/>
        </w:rPr>
        <w:t>’</w:t>
      </w:r>
      <w:r w:rsidR="00FF0D61" w:rsidRPr="00B069E1">
        <w:rPr>
          <w:lang w:val="fr-FR"/>
        </w:rPr>
        <w:t xml:space="preserve">y a pas eu reconnaissance de la violation alléguée </w:t>
      </w:r>
      <w:r w:rsidRPr="00B069E1">
        <w:rPr>
          <w:lang w:val="fr-FR"/>
        </w:rPr>
        <w:t xml:space="preserve">(voir, </w:t>
      </w:r>
      <w:r w:rsidRPr="00B069E1">
        <w:rPr>
          <w:i/>
          <w:lang w:val="fr-FR"/>
        </w:rPr>
        <w:t>a contrario</w:t>
      </w:r>
      <w:r w:rsidRPr="00B069E1">
        <w:rPr>
          <w:lang w:val="fr-FR"/>
        </w:rPr>
        <w:t>,</w:t>
      </w:r>
      <w:r w:rsidRPr="00B069E1">
        <w:rPr>
          <w:i/>
          <w:lang w:val="fr-FR"/>
        </w:rPr>
        <w:t xml:space="preserve"> Gagliano Giorgi c. Italie</w:t>
      </w:r>
      <w:r w:rsidRPr="00B069E1">
        <w:rPr>
          <w:lang w:val="fr-FR"/>
        </w:rPr>
        <w:t>, n</w:t>
      </w:r>
      <w:r w:rsidRPr="00B069E1">
        <w:rPr>
          <w:vertAlign w:val="superscript"/>
          <w:lang w:val="fr-FR"/>
        </w:rPr>
        <w:t>o</w:t>
      </w:r>
      <w:r w:rsidRPr="00B069E1">
        <w:rPr>
          <w:lang w:val="fr-FR"/>
        </w:rPr>
        <w:t xml:space="preserve"> 23563/07</w:t>
      </w:r>
      <w:r w:rsidRPr="00B069E1">
        <w:rPr>
          <w:snapToGrid w:val="0"/>
          <w:szCs w:val="24"/>
          <w:lang w:val="fr-FR"/>
        </w:rPr>
        <w:t>, § 79,</w:t>
      </w:r>
      <w:r w:rsidR="00B069E1" w:rsidRPr="00B069E1">
        <w:rPr>
          <w:snapToGrid w:val="0"/>
          <w:szCs w:val="24"/>
          <w:lang w:val="fr-FR"/>
        </w:rPr>
        <w:t xml:space="preserve"> CEDH </w:t>
      </w:r>
      <w:r w:rsidRPr="00B069E1">
        <w:rPr>
          <w:snapToGrid w:val="0"/>
          <w:szCs w:val="24"/>
          <w:lang w:val="fr-FR"/>
        </w:rPr>
        <w:t>(extraits)</w:t>
      </w:r>
      <w:r w:rsidR="00BF288C" w:rsidRPr="00B069E1">
        <w:rPr>
          <w:snapToGrid w:val="0"/>
          <w:szCs w:val="24"/>
          <w:lang w:val="fr-FR"/>
        </w:rPr>
        <w:t>,</w:t>
      </w:r>
      <w:r w:rsidRPr="00B069E1">
        <w:rPr>
          <w:snapToGrid w:val="0"/>
          <w:szCs w:val="24"/>
          <w:lang w:val="fr-FR"/>
        </w:rPr>
        <w:t xml:space="preserve"> où la Cour a estimé que </w:t>
      </w:r>
      <w:r w:rsidR="00BF288C" w:rsidRPr="00B069E1">
        <w:rPr>
          <w:lang w:val="fr-FR"/>
        </w:rPr>
        <w:t xml:space="preserve">le fait </w:t>
      </w:r>
      <w:r w:rsidRPr="00B069E1">
        <w:rPr>
          <w:lang w:val="fr-FR"/>
        </w:rPr>
        <w:t>que la loi Pinto ne permet</w:t>
      </w:r>
      <w:r w:rsidR="00BF288C" w:rsidRPr="00B069E1">
        <w:rPr>
          <w:lang w:val="fr-FR"/>
        </w:rPr>
        <w:t>tait</w:t>
      </w:r>
      <w:r w:rsidRPr="00B069E1">
        <w:rPr>
          <w:lang w:val="fr-FR"/>
        </w:rPr>
        <w:t xml:space="preserve"> pas d</w:t>
      </w:r>
      <w:r w:rsidR="00B069E1" w:rsidRPr="00B069E1">
        <w:rPr>
          <w:lang w:val="fr-FR"/>
        </w:rPr>
        <w:t>’</w:t>
      </w:r>
      <w:r w:rsidRPr="00B069E1">
        <w:rPr>
          <w:lang w:val="fr-FR"/>
        </w:rPr>
        <w:t xml:space="preserve">indemniser le requérant pour la durée globale de la </w:t>
      </w:r>
      <w:r w:rsidRPr="00B069E1">
        <w:rPr>
          <w:lang w:val="fr-FR"/>
        </w:rPr>
        <w:lastRenderedPageBreak/>
        <w:t xml:space="preserve">procédure mais </w:t>
      </w:r>
      <w:r w:rsidR="00BF288C" w:rsidRPr="00B069E1">
        <w:rPr>
          <w:lang w:val="fr-FR"/>
        </w:rPr>
        <w:t xml:space="preserve">prenait seulement </w:t>
      </w:r>
      <w:r w:rsidRPr="00B069E1">
        <w:rPr>
          <w:lang w:val="fr-FR"/>
        </w:rPr>
        <w:t xml:space="preserve">en compte </w:t>
      </w:r>
      <w:r w:rsidR="00BF288C" w:rsidRPr="00B069E1">
        <w:rPr>
          <w:lang w:val="fr-FR"/>
        </w:rPr>
        <w:t>le</w:t>
      </w:r>
      <w:r w:rsidRPr="00B069E1">
        <w:rPr>
          <w:lang w:val="fr-FR"/>
        </w:rPr>
        <w:t xml:space="preserve"> préjudice </w:t>
      </w:r>
      <w:r w:rsidR="00AC1B83" w:rsidRPr="00B069E1">
        <w:rPr>
          <w:lang w:val="fr-FR"/>
        </w:rPr>
        <w:t>qui se rapportait</w:t>
      </w:r>
      <w:r w:rsidRPr="00B069E1">
        <w:rPr>
          <w:lang w:val="fr-FR"/>
        </w:rPr>
        <w:t xml:space="preserve"> à la période excédant le délai raisonnable ne remett</w:t>
      </w:r>
      <w:r w:rsidR="00A974E4" w:rsidRPr="00B069E1">
        <w:rPr>
          <w:lang w:val="fr-FR"/>
        </w:rPr>
        <w:t>ai</w:t>
      </w:r>
      <w:r w:rsidRPr="00B069E1">
        <w:rPr>
          <w:lang w:val="fr-FR"/>
        </w:rPr>
        <w:t>t pas en cause, pour l</w:t>
      </w:r>
      <w:r w:rsidR="00B069E1" w:rsidRPr="00B069E1">
        <w:rPr>
          <w:lang w:val="fr-FR"/>
        </w:rPr>
        <w:t>’</w:t>
      </w:r>
      <w:r w:rsidRPr="00B069E1">
        <w:rPr>
          <w:lang w:val="fr-FR"/>
        </w:rPr>
        <w:t>instant, l</w:t>
      </w:r>
      <w:r w:rsidR="00B069E1" w:rsidRPr="00B069E1">
        <w:rPr>
          <w:lang w:val="fr-FR"/>
        </w:rPr>
        <w:t>’</w:t>
      </w:r>
      <w:r w:rsidRPr="00B069E1">
        <w:rPr>
          <w:lang w:val="fr-FR"/>
        </w:rPr>
        <w:t>effectivité de cette voie de recours).</w:t>
      </w:r>
    </w:p>
    <w:p w:rsidR="00E53CC5" w:rsidRPr="00B069E1" w:rsidRDefault="00FF1FFD" w:rsidP="00B069E1">
      <w:pPr>
        <w:pStyle w:val="ECHRPara"/>
        <w:rPr>
          <w:lang w:val="fr-FR"/>
        </w:rPr>
      </w:pPr>
      <w:r w:rsidRPr="00B069E1">
        <w:rPr>
          <w:lang w:val="fr-FR"/>
        </w:rPr>
        <w:fldChar w:fldCharType="begin"/>
      </w:r>
      <w:r w:rsidRPr="00B069E1">
        <w:rPr>
          <w:lang w:val="fr-FR"/>
        </w:rPr>
        <w:instrText xml:space="preserve"> SEQ level0 \*arabic </w:instrText>
      </w:r>
      <w:r w:rsidRPr="00B069E1">
        <w:rPr>
          <w:lang w:val="fr-FR"/>
        </w:rPr>
        <w:fldChar w:fldCharType="separate"/>
      </w:r>
      <w:r w:rsidR="00B069E1" w:rsidRPr="00B069E1">
        <w:rPr>
          <w:noProof/>
          <w:lang w:val="fr-FR"/>
        </w:rPr>
        <w:t>26</w:t>
      </w:r>
      <w:r w:rsidRPr="00B069E1">
        <w:rPr>
          <w:lang w:val="fr-FR"/>
        </w:rPr>
        <w:fldChar w:fldCharType="end"/>
      </w:r>
      <w:r w:rsidRPr="00B069E1">
        <w:rPr>
          <w:lang w:val="fr-FR"/>
        </w:rPr>
        <w:t>.  </w:t>
      </w:r>
      <w:r w:rsidR="0085111E" w:rsidRPr="00B069E1">
        <w:rPr>
          <w:lang w:val="fr-FR"/>
        </w:rPr>
        <w:t>E</w:t>
      </w:r>
      <w:r w:rsidRPr="00B069E1">
        <w:rPr>
          <w:lang w:val="fr-FR"/>
        </w:rPr>
        <w:t>n deuxième lieu</w:t>
      </w:r>
      <w:r w:rsidR="00E53CC5" w:rsidRPr="00B069E1">
        <w:rPr>
          <w:lang w:val="fr-FR"/>
        </w:rPr>
        <w:t xml:space="preserve">, la Cour </w:t>
      </w:r>
      <w:r w:rsidR="00ED12FC" w:rsidRPr="00B069E1">
        <w:rPr>
          <w:lang w:val="fr-FR"/>
        </w:rPr>
        <w:t>estime</w:t>
      </w:r>
      <w:r w:rsidR="00E53CC5" w:rsidRPr="00B069E1">
        <w:rPr>
          <w:lang w:val="fr-FR"/>
        </w:rPr>
        <w:t xml:space="preserve"> que la somme accordée par le </w:t>
      </w:r>
      <w:r w:rsidR="00E53CC5" w:rsidRPr="00B069E1">
        <w:rPr>
          <w:szCs w:val="24"/>
          <w:lang w:val="fr-FR"/>
        </w:rPr>
        <w:t>collège d</w:t>
      </w:r>
      <w:r w:rsidR="00B069E1" w:rsidRPr="00B069E1">
        <w:rPr>
          <w:szCs w:val="24"/>
          <w:lang w:val="fr-FR"/>
        </w:rPr>
        <w:t>’</w:t>
      </w:r>
      <w:r w:rsidR="00E53CC5" w:rsidRPr="00B069E1">
        <w:rPr>
          <w:szCs w:val="24"/>
          <w:lang w:val="fr-FR"/>
        </w:rPr>
        <w:t>appel n</w:t>
      </w:r>
      <w:r w:rsidR="00ED12FC" w:rsidRPr="00B069E1">
        <w:rPr>
          <w:szCs w:val="24"/>
          <w:lang w:val="fr-FR"/>
        </w:rPr>
        <w:t>e suffit</w:t>
      </w:r>
      <w:r w:rsidR="000F0A86" w:rsidRPr="00B069E1">
        <w:rPr>
          <w:szCs w:val="24"/>
          <w:lang w:val="fr-FR"/>
        </w:rPr>
        <w:t xml:space="preserve"> </w:t>
      </w:r>
      <w:r w:rsidR="00ED12FC" w:rsidRPr="00B069E1">
        <w:rPr>
          <w:szCs w:val="24"/>
          <w:lang w:val="fr-FR"/>
        </w:rPr>
        <w:t>pas</w:t>
      </w:r>
      <w:r w:rsidR="000F0A86" w:rsidRPr="00B069E1">
        <w:rPr>
          <w:szCs w:val="24"/>
          <w:lang w:val="fr-FR"/>
        </w:rPr>
        <w:t xml:space="preserve"> </w:t>
      </w:r>
      <w:r w:rsidR="00ED12FC" w:rsidRPr="00B069E1">
        <w:rPr>
          <w:szCs w:val="24"/>
          <w:lang w:val="fr-FR"/>
        </w:rPr>
        <w:t xml:space="preserve">à </w:t>
      </w:r>
      <w:r w:rsidR="000F0A86" w:rsidRPr="00B069E1">
        <w:rPr>
          <w:szCs w:val="24"/>
          <w:lang w:val="fr-FR"/>
        </w:rPr>
        <w:t>réparer la violation</w:t>
      </w:r>
      <w:r w:rsidR="001F3B0A" w:rsidRPr="00B069E1">
        <w:rPr>
          <w:szCs w:val="24"/>
          <w:lang w:val="fr-FR"/>
        </w:rPr>
        <w:t>.</w:t>
      </w:r>
    </w:p>
    <w:p w:rsidR="00272D89" w:rsidRPr="00B069E1" w:rsidRDefault="00E53CC5" w:rsidP="00B069E1">
      <w:pPr>
        <w:pStyle w:val="ECHRPara"/>
        <w:rPr>
          <w:lang w:val="fr-FR"/>
        </w:rPr>
      </w:pPr>
      <w:r w:rsidRPr="00B069E1">
        <w:rPr>
          <w:szCs w:val="24"/>
          <w:lang w:val="fr-FR"/>
        </w:rPr>
        <w:fldChar w:fldCharType="begin"/>
      </w:r>
      <w:r w:rsidRPr="00B069E1">
        <w:rPr>
          <w:szCs w:val="24"/>
          <w:lang w:val="fr-FR"/>
        </w:rPr>
        <w:instrText xml:space="preserve"> SEQ level0 \*arabic </w:instrText>
      </w:r>
      <w:r w:rsidRPr="00B069E1">
        <w:rPr>
          <w:szCs w:val="24"/>
          <w:lang w:val="fr-FR"/>
        </w:rPr>
        <w:fldChar w:fldCharType="separate"/>
      </w:r>
      <w:r w:rsidR="00B069E1" w:rsidRPr="00B069E1">
        <w:rPr>
          <w:noProof/>
          <w:szCs w:val="24"/>
          <w:lang w:val="fr-FR"/>
        </w:rPr>
        <w:t>27</w:t>
      </w:r>
      <w:r w:rsidRPr="00B069E1">
        <w:rPr>
          <w:szCs w:val="24"/>
          <w:lang w:val="fr-FR"/>
        </w:rPr>
        <w:fldChar w:fldCharType="end"/>
      </w:r>
      <w:r w:rsidRPr="00B069E1">
        <w:rPr>
          <w:szCs w:val="24"/>
          <w:lang w:val="fr-FR"/>
        </w:rPr>
        <w:t>.  </w:t>
      </w:r>
      <w:r w:rsidR="003B6058" w:rsidRPr="00B069E1">
        <w:rPr>
          <w:szCs w:val="24"/>
          <w:lang w:val="fr-FR"/>
        </w:rPr>
        <w:t xml:space="preserve">En effet, </w:t>
      </w:r>
      <w:r w:rsidR="00A974E4" w:rsidRPr="00B069E1">
        <w:rPr>
          <w:szCs w:val="24"/>
          <w:lang w:val="fr-FR"/>
        </w:rPr>
        <w:t>elle</w:t>
      </w:r>
      <w:r w:rsidRPr="00B069E1">
        <w:rPr>
          <w:rFonts w:cs="Arial"/>
          <w:color w:val="000000"/>
          <w:szCs w:val="24"/>
          <w:lang w:val="fr-FR"/>
        </w:rPr>
        <w:t xml:space="preserve"> </w:t>
      </w:r>
      <w:r w:rsidR="003B6058" w:rsidRPr="00B069E1">
        <w:rPr>
          <w:rFonts w:cs="Arial"/>
          <w:color w:val="000000"/>
          <w:szCs w:val="24"/>
          <w:lang w:val="fr-FR"/>
        </w:rPr>
        <w:t xml:space="preserve">note </w:t>
      </w:r>
      <w:r w:rsidR="00F17384" w:rsidRPr="00B069E1">
        <w:rPr>
          <w:rFonts w:cs="Arial"/>
          <w:color w:val="000000"/>
          <w:szCs w:val="24"/>
          <w:lang w:val="fr-FR"/>
        </w:rPr>
        <w:t>que,</w:t>
      </w:r>
      <w:r w:rsidRPr="00B069E1">
        <w:rPr>
          <w:rFonts w:cs="Arial"/>
          <w:color w:val="000000"/>
          <w:szCs w:val="24"/>
          <w:lang w:val="fr-FR"/>
        </w:rPr>
        <w:t xml:space="preserve"> compte tenu</w:t>
      </w:r>
      <w:r w:rsidR="001F3B0A" w:rsidRPr="00B069E1">
        <w:rPr>
          <w:rFonts w:cs="Arial"/>
          <w:color w:val="000000"/>
          <w:szCs w:val="24"/>
          <w:lang w:val="fr-FR"/>
        </w:rPr>
        <w:t xml:space="preserve"> de la spécificité du litige, </w:t>
      </w:r>
      <w:r w:rsidRPr="00B069E1">
        <w:rPr>
          <w:rFonts w:cs="Arial"/>
          <w:color w:val="000000"/>
          <w:szCs w:val="24"/>
          <w:lang w:val="fr-FR"/>
        </w:rPr>
        <w:t>de son enjeu</w:t>
      </w:r>
      <w:r w:rsidR="001F3B0A" w:rsidRPr="00B069E1">
        <w:rPr>
          <w:rFonts w:cs="Arial"/>
          <w:color w:val="000000"/>
          <w:szCs w:val="24"/>
          <w:lang w:val="fr-FR"/>
        </w:rPr>
        <w:t xml:space="preserve"> et des éventuels retards imputables aux requérants</w:t>
      </w:r>
      <w:r w:rsidRPr="00B069E1">
        <w:rPr>
          <w:rFonts w:cs="Arial"/>
          <w:color w:val="000000"/>
          <w:szCs w:val="24"/>
          <w:lang w:val="fr-FR"/>
        </w:rPr>
        <w:t xml:space="preserve">, </w:t>
      </w:r>
      <w:r w:rsidR="00F17384" w:rsidRPr="00B069E1">
        <w:rPr>
          <w:rFonts w:cs="Arial"/>
          <w:color w:val="000000"/>
          <w:szCs w:val="24"/>
          <w:lang w:val="fr-FR"/>
        </w:rPr>
        <w:t>l</w:t>
      </w:r>
      <w:r w:rsidRPr="00B069E1">
        <w:rPr>
          <w:rFonts w:cs="Arial"/>
          <w:color w:val="000000"/>
          <w:szCs w:val="24"/>
          <w:lang w:val="fr-FR"/>
        </w:rPr>
        <w:t>a somme obtenue par les requérants, à savoir 4 000 EUR chacun</w:t>
      </w:r>
      <w:r w:rsidR="00F17384" w:rsidRPr="00B069E1">
        <w:rPr>
          <w:rFonts w:cs="Arial"/>
          <w:color w:val="000000"/>
          <w:szCs w:val="24"/>
          <w:lang w:val="fr-FR"/>
        </w:rPr>
        <w:t xml:space="preserve">, </w:t>
      </w:r>
      <w:r w:rsidR="00A974E4" w:rsidRPr="00B069E1">
        <w:rPr>
          <w:rFonts w:cs="Arial"/>
          <w:color w:val="000000"/>
          <w:szCs w:val="24"/>
          <w:lang w:val="fr-FR"/>
        </w:rPr>
        <w:t xml:space="preserve">ne </w:t>
      </w:r>
      <w:r w:rsidR="00F17384" w:rsidRPr="00B069E1">
        <w:rPr>
          <w:rFonts w:cs="Arial"/>
          <w:color w:val="000000"/>
          <w:szCs w:val="24"/>
          <w:lang w:val="fr-FR"/>
        </w:rPr>
        <w:t>correspond</w:t>
      </w:r>
      <w:r w:rsidRPr="00B069E1">
        <w:rPr>
          <w:rFonts w:cs="Arial"/>
          <w:color w:val="000000"/>
          <w:szCs w:val="24"/>
          <w:lang w:val="fr-FR"/>
        </w:rPr>
        <w:t xml:space="preserve"> </w:t>
      </w:r>
      <w:r w:rsidR="00A974E4" w:rsidRPr="00B069E1">
        <w:rPr>
          <w:rFonts w:cs="Arial"/>
          <w:color w:val="000000"/>
          <w:szCs w:val="24"/>
          <w:lang w:val="fr-FR"/>
        </w:rPr>
        <w:t>qu</w:t>
      </w:r>
      <w:r w:rsidR="00B069E1" w:rsidRPr="00B069E1">
        <w:rPr>
          <w:rFonts w:cs="Arial"/>
          <w:color w:val="000000"/>
          <w:szCs w:val="24"/>
          <w:lang w:val="fr-FR"/>
        </w:rPr>
        <w:t>’</w:t>
      </w:r>
      <w:r w:rsidRPr="00B069E1">
        <w:rPr>
          <w:rFonts w:cs="Arial"/>
          <w:color w:val="000000"/>
          <w:szCs w:val="24"/>
          <w:lang w:val="fr-FR"/>
        </w:rPr>
        <w:t xml:space="preserve">à </w:t>
      </w:r>
      <w:r w:rsidR="00ED12FC" w:rsidRPr="00B069E1">
        <w:rPr>
          <w:rFonts w:cs="Arial"/>
          <w:color w:val="000000"/>
          <w:szCs w:val="24"/>
          <w:lang w:val="fr-FR"/>
        </w:rPr>
        <w:t xml:space="preserve">environ </w:t>
      </w:r>
      <w:r w:rsidR="00202E5F" w:rsidRPr="00B069E1">
        <w:rPr>
          <w:color w:val="000000"/>
          <w:szCs w:val="24"/>
          <w:lang w:val="fr-FR"/>
        </w:rPr>
        <w:t>21</w:t>
      </w:r>
      <w:r w:rsidR="00A974E4" w:rsidRPr="00B069E1">
        <w:rPr>
          <w:color w:val="000000"/>
          <w:szCs w:val="24"/>
          <w:lang w:val="fr-FR"/>
        </w:rPr>
        <w:t> </w:t>
      </w:r>
      <w:r w:rsidRPr="00B069E1">
        <w:rPr>
          <w:rFonts w:cs="Arial"/>
          <w:color w:val="000000"/>
          <w:szCs w:val="24"/>
          <w:lang w:val="fr-FR"/>
        </w:rPr>
        <w:t xml:space="preserve">% de celle </w:t>
      </w:r>
      <w:r w:rsidR="00A974E4" w:rsidRPr="00B069E1">
        <w:rPr>
          <w:rFonts w:cs="Arial"/>
          <w:color w:val="000000"/>
          <w:szCs w:val="24"/>
          <w:lang w:val="fr-FR"/>
        </w:rPr>
        <w:t>qu</w:t>
      </w:r>
      <w:r w:rsidR="00B069E1" w:rsidRPr="00B069E1">
        <w:rPr>
          <w:rFonts w:cs="Arial"/>
          <w:color w:val="000000"/>
          <w:szCs w:val="24"/>
          <w:lang w:val="fr-FR"/>
        </w:rPr>
        <w:t>’</w:t>
      </w:r>
      <w:r w:rsidR="00A974E4" w:rsidRPr="00B069E1">
        <w:rPr>
          <w:rFonts w:cs="Arial"/>
          <w:color w:val="000000"/>
          <w:szCs w:val="24"/>
          <w:lang w:val="fr-FR"/>
        </w:rPr>
        <w:t>elle</w:t>
      </w:r>
      <w:r w:rsidRPr="00B069E1">
        <w:rPr>
          <w:rFonts w:cs="Arial"/>
          <w:color w:val="000000"/>
          <w:szCs w:val="24"/>
          <w:lang w:val="fr-FR"/>
        </w:rPr>
        <w:t xml:space="preserve"> aurait pu leur accorder en l</w:t>
      </w:r>
      <w:r w:rsidR="00B069E1" w:rsidRPr="00B069E1">
        <w:rPr>
          <w:rFonts w:cs="Arial"/>
          <w:color w:val="000000"/>
          <w:szCs w:val="24"/>
          <w:lang w:val="fr-FR"/>
        </w:rPr>
        <w:t>’</w:t>
      </w:r>
      <w:r w:rsidRPr="00B069E1">
        <w:rPr>
          <w:rFonts w:cs="Arial"/>
          <w:color w:val="000000"/>
          <w:szCs w:val="24"/>
          <w:lang w:val="fr-FR"/>
        </w:rPr>
        <w:t xml:space="preserve">absence </w:t>
      </w:r>
      <w:r w:rsidR="00F17384" w:rsidRPr="00B069E1">
        <w:rPr>
          <w:rFonts w:cs="Arial"/>
          <w:color w:val="000000"/>
          <w:szCs w:val="24"/>
          <w:lang w:val="fr-FR"/>
        </w:rPr>
        <w:t>de voies de recours internes</w:t>
      </w:r>
      <w:r w:rsidR="00281934" w:rsidRPr="00B069E1">
        <w:rPr>
          <w:rFonts w:cs="Arial"/>
          <w:color w:val="000000"/>
          <w:szCs w:val="24"/>
          <w:lang w:val="fr-FR"/>
        </w:rPr>
        <w:t xml:space="preserve"> accessibles et effectives</w:t>
      </w:r>
      <w:r w:rsidRPr="00B069E1">
        <w:rPr>
          <w:rFonts w:cs="Arial"/>
          <w:color w:val="000000"/>
          <w:szCs w:val="24"/>
          <w:lang w:val="fr-FR"/>
        </w:rPr>
        <w:t>.</w:t>
      </w:r>
    </w:p>
    <w:p w:rsidR="00F17384" w:rsidRPr="00B069E1" w:rsidRDefault="00F17384" w:rsidP="00B069E1">
      <w:pPr>
        <w:pStyle w:val="ECHRPara"/>
        <w:rPr>
          <w:lang w:val="fr-FR"/>
        </w:rPr>
      </w:pPr>
      <w:r w:rsidRPr="00B069E1">
        <w:rPr>
          <w:lang w:val="fr-FR"/>
        </w:rPr>
        <w:fldChar w:fldCharType="begin"/>
      </w:r>
      <w:r w:rsidRPr="00B069E1">
        <w:rPr>
          <w:lang w:val="fr-FR"/>
        </w:rPr>
        <w:instrText xml:space="preserve"> SEQ level0 \*arabic </w:instrText>
      </w:r>
      <w:r w:rsidRPr="00B069E1">
        <w:rPr>
          <w:lang w:val="fr-FR"/>
        </w:rPr>
        <w:fldChar w:fldCharType="separate"/>
      </w:r>
      <w:r w:rsidR="00B069E1" w:rsidRPr="00B069E1">
        <w:rPr>
          <w:noProof/>
          <w:lang w:val="fr-FR"/>
        </w:rPr>
        <w:t>28</w:t>
      </w:r>
      <w:r w:rsidRPr="00B069E1">
        <w:rPr>
          <w:lang w:val="fr-FR"/>
        </w:rPr>
        <w:fldChar w:fldCharType="end"/>
      </w:r>
      <w:r w:rsidRPr="00B069E1">
        <w:rPr>
          <w:lang w:val="fr-FR"/>
        </w:rPr>
        <w:t>.  Partant, les requérants peuvent toujours se prétendre « victimes », au sens de l</w:t>
      </w:r>
      <w:r w:rsidR="00B069E1" w:rsidRPr="00B069E1">
        <w:rPr>
          <w:lang w:val="fr-FR"/>
        </w:rPr>
        <w:t>’</w:t>
      </w:r>
      <w:r w:rsidRPr="00B069E1">
        <w:rPr>
          <w:lang w:val="fr-FR"/>
        </w:rPr>
        <w:t>article 34 de la Convention</w:t>
      </w:r>
      <w:r w:rsidR="003F7935" w:rsidRPr="00B069E1">
        <w:rPr>
          <w:lang w:val="fr-FR"/>
        </w:rPr>
        <w:t xml:space="preserve"> (voir,</w:t>
      </w:r>
      <w:r w:rsidR="003F7935" w:rsidRPr="00B069E1">
        <w:rPr>
          <w:i/>
          <w:lang w:val="fr-FR"/>
        </w:rPr>
        <w:t xml:space="preserve"> a contrario</w:t>
      </w:r>
      <w:r w:rsidR="003F7935" w:rsidRPr="00B069E1">
        <w:rPr>
          <w:lang w:val="fr-FR"/>
        </w:rPr>
        <w:t xml:space="preserve">, </w:t>
      </w:r>
      <w:r w:rsidR="003F7935" w:rsidRPr="00B069E1">
        <w:rPr>
          <w:i/>
          <w:lang w:val="fr-FR"/>
        </w:rPr>
        <w:t>Garino c. Italie</w:t>
      </w:r>
      <w:r w:rsidR="003F7935" w:rsidRPr="00B069E1">
        <w:rPr>
          <w:lang w:val="fr-FR"/>
        </w:rPr>
        <w:t xml:space="preserve"> (déc.), n</w:t>
      </w:r>
      <w:r w:rsidR="003F7935" w:rsidRPr="00B069E1">
        <w:rPr>
          <w:vertAlign w:val="superscript"/>
          <w:lang w:val="fr-FR"/>
        </w:rPr>
        <w:t>os</w:t>
      </w:r>
      <w:r w:rsidR="003F7935" w:rsidRPr="00B069E1">
        <w:rPr>
          <w:lang w:val="fr-FR"/>
        </w:rPr>
        <w:t xml:space="preserve"> 16605/03, 16641/03 et 16644/03)</w:t>
      </w:r>
      <w:r w:rsidRPr="00B069E1">
        <w:rPr>
          <w:lang w:val="fr-FR"/>
        </w:rPr>
        <w:t>.</w:t>
      </w:r>
    </w:p>
    <w:p w:rsidR="00E77CB3" w:rsidRPr="00B069E1" w:rsidRDefault="00E53CC5" w:rsidP="00B069E1">
      <w:pPr>
        <w:pStyle w:val="ECHRPara"/>
        <w:rPr>
          <w:lang w:val="fr-FR"/>
        </w:rPr>
      </w:pPr>
      <w:r w:rsidRPr="00B069E1">
        <w:rPr>
          <w:lang w:val="fr-FR"/>
        </w:rPr>
        <w:fldChar w:fldCharType="begin"/>
      </w:r>
      <w:r w:rsidRPr="00B069E1">
        <w:rPr>
          <w:lang w:val="fr-FR"/>
        </w:rPr>
        <w:instrText xml:space="preserve"> SEQ level0 \*arabic </w:instrText>
      </w:r>
      <w:r w:rsidRPr="00B069E1">
        <w:rPr>
          <w:lang w:val="fr-FR"/>
        </w:rPr>
        <w:fldChar w:fldCharType="separate"/>
      </w:r>
      <w:r w:rsidR="00B069E1" w:rsidRPr="00B069E1">
        <w:rPr>
          <w:noProof/>
          <w:lang w:val="fr-FR"/>
        </w:rPr>
        <w:t>29</w:t>
      </w:r>
      <w:r w:rsidRPr="00B069E1">
        <w:rPr>
          <w:lang w:val="fr-FR"/>
        </w:rPr>
        <w:fldChar w:fldCharType="end"/>
      </w:r>
      <w:r w:rsidRPr="00B069E1">
        <w:rPr>
          <w:lang w:val="fr-FR"/>
        </w:rPr>
        <w:t>.  </w:t>
      </w:r>
      <w:r w:rsidR="007A21BC" w:rsidRPr="00B069E1">
        <w:rPr>
          <w:lang w:val="fr-FR"/>
        </w:rPr>
        <w:t>Constatant</w:t>
      </w:r>
      <w:r w:rsidRPr="00B069E1">
        <w:rPr>
          <w:lang w:val="fr-FR"/>
        </w:rPr>
        <w:t xml:space="preserve"> que la requête n</w:t>
      </w:r>
      <w:r w:rsidR="00B069E1" w:rsidRPr="00B069E1">
        <w:rPr>
          <w:lang w:val="fr-FR"/>
        </w:rPr>
        <w:t>’</w:t>
      </w:r>
      <w:r w:rsidRPr="00B069E1">
        <w:rPr>
          <w:lang w:val="fr-FR"/>
        </w:rPr>
        <w:t>est pas manifestement mal fondée au sens de l</w:t>
      </w:r>
      <w:r w:rsidR="00B069E1" w:rsidRPr="00B069E1">
        <w:rPr>
          <w:lang w:val="fr-FR"/>
        </w:rPr>
        <w:t>’</w:t>
      </w:r>
      <w:r w:rsidRPr="00B069E1">
        <w:rPr>
          <w:lang w:val="fr-FR"/>
        </w:rPr>
        <w:t>article 35 § 3 a) de la Convention et qu</w:t>
      </w:r>
      <w:r w:rsidR="00B069E1" w:rsidRPr="00B069E1">
        <w:rPr>
          <w:lang w:val="fr-FR"/>
        </w:rPr>
        <w:t>’</w:t>
      </w:r>
      <w:r w:rsidRPr="00B069E1">
        <w:rPr>
          <w:lang w:val="fr-FR"/>
        </w:rPr>
        <w:t>elle ne se heurte par ailleurs à aucun autre motif d</w:t>
      </w:r>
      <w:r w:rsidR="00B069E1" w:rsidRPr="00B069E1">
        <w:rPr>
          <w:lang w:val="fr-FR"/>
        </w:rPr>
        <w:t>’</w:t>
      </w:r>
      <w:r w:rsidRPr="00B069E1">
        <w:rPr>
          <w:lang w:val="fr-FR"/>
        </w:rPr>
        <w:t>irrecevabilité</w:t>
      </w:r>
      <w:r w:rsidR="007A21BC" w:rsidRPr="00B069E1">
        <w:rPr>
          <w:lang w:val="fr-FR"/>
        </w:rPr>
        <w:t>, la Cour</w:t>
      </w:r>
      <w:r w:rsidRPr="00B069E1">
        <w:rPr>
          <w:lang w:val="fr-FR"/>
        </w:rPr>
        <w:t xml:space="preserve"> la déclare recevable.</w:t>
      </w:r>
    </w:p>
    <w:p w:rsidR="00CF2077" w:rsidRPr="00B069E1" w:rsidRDefault="00E77CB3" w:rsidP="00B069E1">
      <w:pPr>
        <w:pStyle w:val="ECHRHeading2"/>
        <w:rPr>
          <w:rFonts w:asciiTheme="minorHAnsi" w:eastAsiaTheme="minorEastAsia" w:hAnsiTheme="minorHAnsi" w:cstheme="minorBidi"/>
          <w:b w:val="0"/>
          <w:bCs w:val="0"/>
          <w:szCs w:val="22"/>
          <w:lang w:val="fr-FR"/>
        </w:rPr>
      </w:pPr>
      <w:r w:rsidRPr="00B069E1">
        <w:rPr>
          <w:lang w:val="fr-FR"/>
        </w:rPr>
        <w:t>B.  Sur le fond</w:t>
      </w:r>
    </w:p>
    <w:p w:rsidR="00473D7F" w:rsidRPr="00B069E1" w:rsidRDefault="00473D7F" w:rsidP="00B069E1">
      <w:pPr>
        <w:pStyle w:val="ECHRPara"/>
        <w:rPr>
          <w:lang w:val="fr-FR"/>
        </w:rPr>
      </w:pPr>
      <w:r w:rsidRPr="00B069E1">
        <w:rPr>
          <w:lang w:val="fr-FR"/>
        </w:rPr>
        <w:fldChar w:fldCharType="begin"/>
      </w:r>
      <w:r w:rsidRPr="00B069E1">
        <w:rPr>
          <w:lang w:val="fr-FR"/>
        </w:rPr>
        <w:instrText xml:space="preserve"> SEQ level0 \*arabic </w:instrText>
      </w:r>
      <w:r w:rsidRPr="00B069E1">
        <w:rPr>
          <w:lang w:val="fr-FR"/>
        </w:rPr>
        <w:fldChar w:fldCharType="separate"/>
      </w:r>
      <w:r w:rsidR="00B069E1" w:rsidRPr="00B069E1">
        <w:rPr>
          <w:noProof/>
          <w:lang w:val="fr-FR"/>
        </w:rPr>
        <w:t>30</w:t>
      </w:r>
      <w:r w:rsidRPr="00B069E1">
        <w:rPr>
          <w:lang w:val="fr-FR"/>
        </w:rPr>
        <w:fldChar w:fldCharType="end"/>
      </w:r>
      <w:r w:rsidRPr="00B069E1">
        <w:rPr>
          <w:lang w:val="fr-FR"/>
        </w:rPr>
        <w:t xml:space="preserve">.  La Cour constate que la procédure principale a débuté </w:t>
      </w:r>
      <w:r w:rsidR="00F17384" w:rsidRPr="00B069E1">
        <w:rPr>
          <w:lang w:val="fr-FR"/>
        </w:rPr>
        <w:t xml:space="preserve">en </w:t>
      </w:r>
      <w:r w:rsidR="00ED12FC" w:rsidRPr="00B069E1">
        <w:rPr>
          <w:lang w:val="fr-FR"/>
        </w:rPr>
        <w:t xml:space="preserve">juillet </w:t>
      </w:r>
      <w:r w:rsidR="00F17384" w:rsidRPr="00B069E1">
        <w:rPr>
          <w:lang w:val="fr-FR"/>
        </w:rPr>
        <w:t>1981</w:t>
      </w:r>
      <w:r w:rsidRPr="00B069E1">
        <w:rPr>
          <w:lang w:val="fr-FR"/>
        </w:rPr>
        <w:t xml:space="preserve"> et s</w:t>
      </w:r>
      <w:r w:rsidR="00B069E1" w:rsidRPr="00B069E1">
        <w:rPr>
          <w:lang w:val="fr-FR"/>
        </w:rPr>
        <w:t>’</w:t>
      </w:r>
      <w:r w:rsidRPr="00B069E1">
        <w:rPr>
          <w:lang w:val="fr-FR"/>
        </w:rPr>
        <w:t xml:space="preserve">est terminée </w:t>
      </w:r>
      <w:r w:rsidR="00F17384" w:rsidRPr="00B069E1">
        <w:rPr>
          <w:lang w:val="fr-FR"/>
        </w:rPr>
        <w:t xml:space="preserve">en </w:t>
      </w:r>
      <w:r w:rsidR="00ED12FC" w:rsidRPr="00B069E1">
        <w:rPr>
          <w:lang w:val="fr-FR"/>
        </w:rPr>
        <w:t xml:space="preserve">janvier </w:t>
      </w:r>
      <w:r w:rsidR="00F17384" w:rsidRPr="00B069E1">
        <w:rPr>
          <w:lang w:val="fr-FR"/>
        </w:rPr>
        <w:t>2009.</w:t>
      </w:r>
      <w:r w:rsidRPr="00B069E1">
        <w:rPr>
          <w:lang w:val="fr-FR"/>
        </w:rPr>
        <w:t xml:space="preserve"> </w:t>
      </w:r>
      <w:r w:rsidR="00AC1B83" w:rsidRPr="00B069E1">
        <w:rPr>
          <w:lang w:val="fr-FR"/>
        </w:rPr>
        <w:t xml:space="preserve">La procédure en cause </w:t>
      </w:r>
      <w:r w:rsidRPr="00B069E1">
        <w:rPr>
          <w:lang w:val="fr-FR"/>
        </w:rPr>
        <w:t xml:space="preserve">a donc duré environ </w:t>
      </w:r>
      <w:r w:rsidR="00AC1B83" w:rsidRPr="00B069E1">
        <w:rPr>
          <w:lang w:val="fr-FR"/>
        </w:rPr>
        <w:t xml:space="preserve">vingt-huit </w:t>
      </w:r>
      <w:r w:rsidR="00F17384" w:rsidRPr="00B069E1">
        <w:rPr>
          <w:lang w:val="fr-FR"/>
        </w:rPr>
        <w:t>ans</w:t>
      </w:r>
      <w:r w:rsidRPr="00B069E1">
        <w:rPr>
          <w:lang w:val="fr-FR"/>
        </w:rPr>
        <w:t xml:space="preserve"> pour deux degrés de juridiction.</w:t>
      </w:r>
    </w:p>
    <w:p w:rsidR="00473D7F" w:rsidRPr="00B069E1" w:rsidRDefault="00B276FE" w:rsidP="00B069E1">
      <w:pPr>
        <w:pStyle w:val="ECHRPara"/>
        <w:rPr>
          <w:lang w:val="fr-FR"/>
        </w:rPr>
      </w:pPr>
      <w:r w:rsidRPr="00B069E1">
        <w:rPr>
          <w:lang w:val="fr-FR"/>
        </w:rPr>
        <w:fldChar w:fldCharType="begin"/>
      </w:r>
      <w:r w:rsidRPr="00B069E1">
        <w:rPr>
          <w:lang w:val="fr-FR"/>
        </w:rPr>
        <w:instrText xml:space="preserve"> SEQ level0 \*arabic </w:instrText>
      </w:r>
      <w:r w:rsidRPr="00B069E1">
        <w:rPr>
          <w:lang w:val="fr-FR"/>
        </w:rPr>
        <w:fldChar w:fldCharType="separate"/>
      </w:r>
      <w:r w:rsidR="00B069E1" w:rsidRPr="00B069E1">
        <w:rPr>
          <w:noProof/>
          <w:lang w:val="fr-FR"/>
        </w:rPr>
        <w:t>31</w:t>
      </w:r>
      <w:r w:rsidRPr="00B069E1">
        <w:rPr>
          <w:lang w:val="fr-FR"/>
        </w:rPr>
        <w:fldChar w:fldCharType="end"/>
      </w:r>
      <w:r w:rsidRPr="00B069E1">
        <w:rPr>
          <w:lang w:val="fr-FR"/>
        </w:rPr>
        <w:t>.  </w:t>
      </w:r>
      <w:r w:rsidR="00473D7F" w:rsidRPr="00B069E1">
        <w:rPr>
          <w:lang w:val="fr-FR"/>
        </w:rPr>
        <w:t>La Cour a traité à maintes reprises d</w:t>
      </w:r>
      <w:r w:rsidR="00B069E1" w:rsidRPr="00B069E1">
        <w:rPr>
          <w:lang w:val="fr-FR"/>
        </w:rPr>
        <w:t>’</w:t>
      </w:r>
      <w:r w:rsidR="00473D7F" w:rsidRPr="00B069E1">
        <w:rPr>
          <w:lang w:val="fr-FR"/>
        </w:rPr>
        <w:t xml:space="preserve">affaires soulevant des questions semblables à celle </w:t>
      </w:r>
      <w:r w:rsidR="005D7716" w:rsidRPr="00B069E1">
        <w:rPr>
          <w:lang w:val="fr-FR"/>
        </w:rPr>
        <w:t xml:space="preserve">de la présente </w:t>
      </w:r>
      <w:r w:rsidR="00473D7F" w:rsidRPr="00B069E1">
        <w:rPr>
          <w:lang w:val="fr-FR"/>
        </w:rPr>
        <w:t>espèce</w:t>
      </w:r>
      <w:r w:rsidR="005D7716" w:rsidRPr="00B069E1">
        <w:rPr>
          <w:lang w:val="fr-FR"/>
        </w:rPr>
        <w:t>,</w:t>
      </w:r>
      <w:r w:rsidR="00473D7F" w:rsidRPr="00B069E1">
        <w:rPr>
          <w:lang w:val="fr-FR"/>
        </w:rPr>
        <w:t xml:space="preserve"> </w:t>
      </w:r>
      <w:r w:rsidR="0013304F" w:rsidRPr="00B069E1">
        <w:rPr>
          <w:lang w:val="fr-FR"/>
        </w:rPr>
        <w:t xml:space="preserve">dans lesquelles elle </w:t>
      </w:r>
      <w:r w:rsidR="00473D7F" w:rsidRPr="00B069E1">
        <w:rPr>
          <w:lang w:val="fr-FR"/>
        </w:rPr>
        <w:t>a constaté une méconnaissance de l</w:t>
      </w:r>
      <w:r w:rsidR="00B069E1" w:rsidRPr="00B069E1">
        <w:rPr>
          <w:lang w:val="fr-FR"/>
        </w:rPr>
        <w:t>’</w:t>
      </w:r>
      <w:r w:rsidR="00473D7F" w:rsidRPr="00B069E1">
        <w:rPr>
          <w:lang w:val="fr-FR"/>
        </w:rPr>
        <w:t xml:space="preserve">exigence du « délai raisonnable » </w:t>
      </w:r>
      <w:r w:rsidR="005D7716" w:rsidRPr="00B069E1">
        <w:rPr>
          <w:lang w:val="fr-FR"/>
        </w:rPr>
        <w:t>eu égard aux</w:t>
      </w:r>
      <w:r w:rsidR="00473D7F" w:rsidRPr="00B069E1">
        <w:rPr>
          <w:lang w:val="fr-FR"/>
        </w:rPr>
        <w:t xml:space="preserve"> critères dégagés par sa jurisprudence bien établie en la matière (voir, en premier lieu, </w:t>
      </w:r>
      <w:r w:rsidR="00154932" w:rsidRPr="00B069E1">
        <w:rPr>
          <w:i/>
          <w:lang w:val="fr-FR"/>
        </w:rPr>
        <w:t>Cocchiarella</w:t>
      </w:r>
      <w:r w:rsidR="0013304F" w:rsidRPr="00B069E1">
        <w:rPr>
          <w:lang w:val="fr-FR"/>
        </w:rPr>
        <w:t>, précité</w:t>
      </w:r>
      <w:r w:rsidR="00473D7F" w:rsidRPr="00B069E1">
        <w:rPr>
          <w:lang w:val="fr-FR"/>
        </w:rPr>
        <w:t>). N</w:t>
      </w:r>
      <w:r w:rsidR="00B069E1" w:rsidRPr="00B069E1">
        <w:rPr>
          <w:lang w:val="fr-FR"/>
        </w:rPr>
        <w:t>’</w:t>
      </w:r>
      <w:r w:rsidR="00473D7F" w:rsidRPr="00B069E1">
        <w:rPr>
          <w:lang w:val="fr-FR"/>
        </w:rPr>
        <w:t>apercevant rien qui puisse mener à une conclusion différente dans la présente affaire, la Cour estime qu</w:t>
      </w:r>
      <w:r w:rsidR="00B069E1" w:rsidRPr="00B069E1">
        <w:rPr>
          <w:lang w:val="fr-FR"/>
        </w:rPr>
        <w:t>’</w:t>
      </w:r>
      <w:r w:rsidR="00473D7F" w:rsidRPr="00B069E1">
        <w:rPr>
          <w:lang w:val="fr-FR"/>
        </w:rPr>
        <w:t xml:space="preserve">il y a lieu de </w:t>
      </w:r>
      <w:r w:rsidR="005B1251" w:rsidRPr="00B069E1">
        <w:rPr>
          <w:lang w:val="fr-FR"/>
        </w:rPr>
        <w:t>conclure à la</w:t>
      </w:r>
      <w:r w:rsidR="00473D7F" w:rsidRPr="00B069E1">
        <w:rPr>
          <w:lang w:val="fr-FR"/>
        </w:rPr>
        <w:t xml:space="preserve"> violation de l</w:t>
      </w:r>
      <w:r w:rsidR="00B069E1" w:rsidRPr="00B069E1">
        <w:rPr>
          <w:lang w:val="fr-FR"/>
        </w:rPr>
        <w:t>’</w:t>
      </w:r>
      <w:r w:rsidR="00473D7F" w:rsidRPr="00B069E1">
        <w:rPr>
          <w:lang w:val="fr-FR"/>
        </w:rPr>
        <w:t>article 6 § 1 de la Convention pour le même motif.</w:t>
      </w:r>
    </w:p>
    <w:p w:rsidR="00E77CB3" w:rsidRPr="00B069E1" w:rsidRDefault="00616104" w:rsidP="00B069E1">
      <w:pPr>
        <w:pStyle w:val="ECHRHeading1"/>
        <w:rPr>
          <w:lang w:val="fr-FR"/>
        </w:rPr>
      </w:pPr>
      <w:r w:rsidRPr="00B069E1">
        <w:rPr>
          <w:lang w:val="fr-FR"/>
        </w:rPr>
        <w:t>II</w:t>
      </w:r>
      <w:r w:rsidR="00E77CB3" w:rsidRPr="00B069E1">
        <w:rPr>
          <w:lang w:val="fr-FR"/>
        </w:rPr>
        <w:t>.  SUR L</w:t>
      </w:r>
      <w:r w:rsidR="00B069E1" w:rsidRPr="00B069E1">
        <w:rPr>
          <w:lang w:val="fr-FR"/>
        </w:rPr>
        <w:t>’</w:t>
      </w:r>
      <w:r w:rsidR="00E77CB3" w:rsidRPr="00B069E1">
        <w:rPr>
          <w:lang w:val="fr-FR"/>
        </w:rPr>
        <w:t>APPLICATION DE L</w:t>
      </w:r>
      <w:r w:rsidR="00B069E1" w:rsidRPr="00B069E1">
        <w:rPr>
          <w:lang w:val="fr-FR"/>
        </w:rPr>
        <w:t>’</w:t>
      </w:r>
      <w:r w:rsidR="00E77CB3" w:rsidRPr="00B069E1">
        <w:rPr>
          <w:lang w:val="fr-FR"/>
        </w:rPr>
        <w:t>ARTICLE 41 DE LA CONVENTION</w:t>
      </w:r>
    </w:p>
    <w:p w:rsidR="00E77CB3" w:rsidRPr="00B069E1" w:rsidRDefault="00C44054" w:rsidP="00B069E1">
      <w:pPr>
        <w:pStyle w:val="ECHRPara"/>
        <w:rPr>
          <w:lang w:val="fr-FR"/>
        </w:rPr>
      </w:pPr>
      <w:r w:rsidRPr="00B069E1">
        <w:rPr>
          <w:lang w:val="fr-FR"/>
        </w:rPr>
        <w:fldChar w:fldCharType="begin"/>
      </w:r>
      <w:r w:rsidRPr="00B069E1">
        <w:rPr>
          <w:lang w:val="fr-FR"/>
        </w:rPr>
        <w:instrText xml:space="preserve"> SEQ level0 \*arabic </w:instrText>
      </w:r>
      <w:r w:rsidRPr="00B069E1">
        <w:rPr>
          <w:lang w:val="fr-FR"/>
        </w:rPr>
        <w:fldChar w:fldCharType="separate"/>
      </w:r>
      <w:r w:rsidR="00B069E1" w:rsidRPr="00B069E1">
        <w:rPr>
          <w:noProof/>
          <w:lang w:val="fr-FR"/>
        </w:rPr>
        <w:t>32</w:t>
      </w:r>
      <w:r w:rsidRPr="00B069E1">
        <w:rPr>
          <w:lang w:val="fr-FR"/>
        </w:rPr>
        <w:fldChar w:fldCharType="end"/>
      </w:r>
      <w:r w:rsidR="00E77CB3" w:rsidRPr="00B069E1">
        <w:rPr>
          <w:lang w:val="fr-FR"/>
        </w:rPr>
        <w:t>.  Aux termes de l</w:t>
      </w:r>
      <w:r w:rsidR="00B069E1" w:rsidRPr="00B069E1">
        <w:rPr>
          <w:lang w:val="fr-FR"/>
        </w:rPr>
        <w:t>’</w:t>
      </w:r>
      <w:r w:rsidR="00E77CB3" w:rsidRPr="00B069E1">
        <w:rPr>
          <w:lang w:val="fr-FR"/>
        </w:rPr>
        <w:t>article 41 de la Convention,</w:t>
      </w:r>
    </w:p>
    <w:p w:rsidR="00E77CB3" w:rsidRPr="00B069E1" w:rsidRDefault="00E77CB3" w:rsidP="00B069E1">
      <w:pPr>
        <w:pStyle w:val="ECHRParaQuote"/>
        <w:keepNext/>
        <w:keepLines/>
        <w:rPr>
          <w:lang w:val="fr-FR"/>
        </w:rPr>
      </w:pPr>
      <w:r w:rsidRPr="00B069E1">
        <w:rPr>
          <w:lang w:val="fr-FR"/>
        </w:rPr>
        <w:t>« Si la Cour déclare qu</w:t>
      </w:r>
      <w:r w:rsidR="00B069E1" w:rsidRPr="00B069E1">
        <w:rPr>
          <w:lang w:val="fr-FR"/>
        </w:rPr>
        <w:t>’</w:t>
      </w:r>
      <w:r w:rsidRPr="00B069E1">
        <w:rPr>
          <w:lang w:val="fr-FR"/>
        </w:rPr>
        <w:t>il y a eu violation de la Convention ou de ses Protocoles, et si le droit interne de la Haute Partie contractante ne permet d</w:t>
      </w:r>
      <w:r w:rsidR="00B069E1" w:rsidRPr="00B069E1">
        <w:rPr>
          <w:lang w:val="fr-FR"/>
        </w:rPr>
        <w:t>’</w:t>
      </w:r>
      <w:r w:rsidRPr="00B069E1">
        <w:rPr>
          <w:lang w:val="fr-FR"/>
        </w:rPr>
        <w:t>effacer qu</w:t>
      </w:r>
      <w:r w:rsidR="00B069E1" w:rsidRPr="00B069E1">
        <w:rPr>
          <w:lang w:val="fr-FR"/>
        </w:rPr>
        <w:t>’</w:t>
      </w:r>
      <w:r w:rsidRPr="00B069E1">
        <w:rPr>
          <w:lang w:val="fr-FR"/>
        </w:rPr>
        <w:t>imparfaitement les conséquences de cette violation, la Cour accorde à la partie lésée, s</w:t>
      </w:r>
      <w:r w:rsidR="00B069E1" w:rsidRPr="00B069E1">
        <w:rPr>
          <w:lang w:val="fr-FR"/>
        </w:rPr>
        <w:t>’</w:t>
      </w:r>
      <w:r w:rsidRPr="00B069E1">
        <w:rPr>
          <w:lang w:val="fr-FR"/>
        </w:rPr>
        <w:t>il y a lieu, une satisfaction équitable. »</w:t>
      </w:r>
    </w:p>
    <w:p w:rsidR="00E77CB3" w:rsidRPr="00B069E1" w:rsidRDefault="00E77CB3" w:rsidP="00B069E1">
      <w:pPr>
        <w:pStyle w:val="ECHRHeading2"/>
        <w:rPr>
          <w:lang w:val="fr-FR"/>
        </w:rPr>
      </w:pPr>
      <w:r w:rsidRPr="00B069E1">
        <w:rPr>
          <w:lang w:val="fr-FR"/>
        </w:rPr>
        <w:t>A.  Dommage</w:t>
      </w:r>
    </w:p>
    <w:p w:rsidR="00E77CB3" w:rsidRPr="00B069E1" w:rsidRDefault="00C44054" w:rsidP="00B069E1">
      <w:pPr>
        <w:pStyle w:val="ECHRPara"/>
        <w:rPr>
          <w:lang w:val="fr-FR"/>
        </w:rPr>
      </w:pPr>
      <w:r w:rsidRPr="00B069E1">
        <w:rPr>
          <w:lang w:val="fr-FR"/>
        </w:rPr>
        <w:fldChar w:fldCharType="begin"/>
      </w:r>
      <w:r w:rsidRPr="00B069E1">
        <w:rPr>
          <w:lang w:val="fr-FR"/>
        </w:rPr>
        <w:instrText xml:space="preserve"> SEQ level0 \*arabic </w:instrText>
      </w:r>
      <w:r w:rsidRPr="00B069E1">
        <w:rPr>
          <w:lang w:val="fr-FR"/>
        </w:rPr>
        <w:fldChar w:fldCharType="separate"/>
      </w:r>
      <w:r w:rsidR="00B069E1" w:rsidRPr="00B069E1">
        <w:rPr>
          <w:noProof/>
          <w:lang w:val="fr-FR"/>
        </w:rPr>
        <w:t>33</w:t>
      </w:r>
      <w:r w:rsidRPr="00B069E1">
        <w:rPr>
          <w:lang w:val="fr-FR"/>
        </w:rPr>
        <w:fldChar w:fldCharType="end"/>
      </w:r>
      <w:r w:rsidR="00E77CB3" w:rsidRPr="00B069E1">
        <w:rPr>
          <w:lang w:val="fr-FR"/>
        </w:rPr>
        <w:t>.  </w:t>
      </w:r>
      <w:r w:rsidR="008C2C2F" w:rsidRPr="00B069E1">
        <w:rPr>
          <w:lang w:val="fr-FR"/>
        </w:rPr>
        <w:t>Les requérants</w:t>
      </w:r>
      <w:r w:rsidR="00E77CB3" w:rsidRPr="00B069E1">
        <w:rPr>
          <w:lang w:val="fr-FR"/>
        </w:rPr>
        <w:t xml:space="preserve"> réclame</w:t>
      </w:r>
      <w:r w:rsidRPr="00B069E1">
        <w:rPr>
          <w:lang w:val="fr-FR"/>
        </w:rPr>
        <w:t>nt</w:t>
      </w:r>
      <w:r w:rsidR="00E77CB3" w:rsidRPr="00B069E1">
        <w:rPr>
          <w:lang w:val="fr-FR"/>
        </w:rPr>
        <w:t xml:space="preserve"> </w:t>
      </w:r>
      <w:r w:rsidR="008C2C2F" w:rsidRPr="00B069E1">
        <w:rPr>
          <w:lang w:val="fr-FR"/>
        </w:rPr>
        <w:t>86</w:t>
      </w:r>
      <w:r w:rsidR="00E0725A" w:rsidRPr="00B069E1">
        <w:rPr>
          <w:lang w:val="fr-FR"/>
        </w:rPr>
        <w:t> </w:t>
      </w:r>
      <w:r w:rsidR="008C2C2F" w:rsidRPr="00B069E1">
        <w:rPr>
          <w:lang w:val="fr-FR"/>
        </w:rPr>
        <w:t>000</w:t>
      </w:r>
      <w:r w:rsidR="00E77CB3" w:rsidRPr="00B069E1">
        <w:rPr>
          <w:lang w:val="fr-FR"/>
        </w:rPr>
        <w:t xml:space="preserve"> EUR </w:t>
      </w:r>
      <w:r w:rsidR="008C2C2F" w:rsidRPr="00B069E1">
        <w:rPr>
          <w:lang w:val="fr-FR"/>
        </w:rPr>
        <w:t xml:space="preserve">chacun </w:t>
      </w:r>
      <w:r w:rsidR="007054D8" w:rsidRPr="00B069E1">
        <w:rPr>
          <w:lang w:val="fr-FR"/>
        </w:rPr>
        <w:t>pour</w:t>
      </w:r>
      <w:r w:rsidR="00E77CB3" w:rsidRPr="00B069E1">
        <w:rPr>
          <w:lang w:val="fr-FR"/>
        </w:rPr>
        <w:t xml:space="preserve"> préjudice moral.</w:t>
      </w:r>
    </w:p>
    <w:p w:rsidR="00E77CB3" w:rsidRPr="00B069E1" w:rsidRDefault="00C44054" w:rsidP="00B069E1">
      <w:pPr>
        <w:pStyle w:val="ECHRPara"/>
        <w:rPr>
          <w:lang w:val="fr-FR"/>
        </w:rPr>
      </w:pPr>
      <w:r w:rsidRPr="00B069E1">
        <w:rPr>
          <w:lang w:val="fr-FR"/>
        </w:rPr>
        <w:fldChar w:fldCharType="begin"/>
      </w:r>
      <w:r w:rsidRPr="00B069E1">
        <w:rPr>
          <w:lang w:val="fr-FR"/>
        </w:rPr>
        <w:instrText xml:space="preserve"> SEQ level0 \*arabic </w:instrText>
      </w:r>
      <w:r w:rsidRPr="00B069E1">
        <w:rPr>
          <w:lang w:val="fr-FR"/>
        </w:rPr>
        <w:fldChar w:fldCharType="separate"/>
      </w:r>
      <w:r w:rsidR="00B069E1" w:rsidRPr="00B069E1">
        <w:rPr>
          <w:noProof/>
          <w:lang w:val="fr-FR"/>
        </w:rPr>
        <w:t>34</w:t>
      </w:r>
      <w:r w:rsidRPr="00B069E1">
        <w:rPr>
          <w:lang w:val="fr-FR"/>
        </w:rPr>
        <w:fldChar w:fldCharType="end"/>
      </w:r>
      <w:r w:rsidR="00E77CB3" w:rsidRPr="00B069E1">
        <w:rPr>
          <w:lang w:val="fr-FR"/>
        </w:rPr>
        <w:t>.  </w:t>
      </w:r>
      <w:r w:rsidR="00B276FE" w:rsidRPr="00B069E1">
        <w:rPr>
          <w:lang w:val="fr-FR"/>
        </w:rPr>
        <w:t>Le Gouvernement soutient que ces prétentions sont excessives et injustifiées.</w:t>
      </w:r>
    </w:p>
    <w:p w:rsidR="00AF7054" w:rsidRPr="00B069E1" w:rsidRDefault="00C44054" w:rsidP="00B069E1">
      <w:pPr>
        <w:pStyle w:val="ECHRPara"/>
        <w:rPr>
          <w:lang w:val="fr-FR"/>
        </w:rPr>
      </w:pPr>
      <w:r w:rsidRPr="00B069E1">
        <w:rPr>
          <w:lang w:val="fr-FR"/>
        </w:rPr>
        <w:lastRenderedPageBreak/>
        <w:fldChar w:fldCharType="begin"/>
      </w:r>
      <w:r w:rsidRPr="00B069E1">
        <w:rPr>
          <w:lang w:val="fr-FR"/>
        </w:rPr>
        <w:instrText xml:space="preserve"> SEQ level0 \*arabic </w:instrText>
      </w:r>
      <w:r w:rsidRPr="00B069E1">
        <w:rPr>
          <w:lang w:val="fr-FR"/>
        </w:rPr>
        <w:fldChar w:fldCharType="separate"/>
      </w:r>
      <w:r w:rsidR="00B069E1" w:rsidRPr="00B069E1">
        <w:rPr>
          <w:noProof/>
          <w:lang w:val="fr-FR"/>
        </w:rPr>
        <w:t>35</w:t>
      </w:r>
      <w:r w:rsidRPr="00B069E1">
        <w:rPr>
          <w:lang w:val="fr-FR"/>
        </w:rPr>
        <w:fldChar w:fldCharType="end"/>
      </w:r>
      <w:r w:rsidR="002558DC" w:rsidRPr="00B069E1">
        <w:rPr>
          <w:lang w:val="fr-FR"/>
        </w:rPr>
        <w:t>. </w:t>
      </w:r>
      <w:r w:rsidR="007C5302" w:rsidRPr="00B069E1">
        <w:rPr>
          <w:lang w:val="fr-FR"/>
        </w:rPr>
        <w:t> </w:t>
      </w:r>
      <w:r w:rsidR="00FC5D5B" w:rsidRPr="00B069E1">
        <w:rPr>
          <w:lang w:val="fr-FR"/>
        </w:rPr>
        <w:t>La Cour rappelle que lorsqu</w:t>
      </w:r>
      <w:r w:rsidR="00B069E1" w:rsidRPr="00B069E1">
        <w:rPr>
          <w:lang w:val="fr-FR"/>
        </w:rPr>
        <w:t>’</w:t>
      </w:r>
      <w:r w:rsidR="00FC5D5B" w:rsidRPr="00B069E1">
        <w:rPr>
          <w:lang w:val="fr-FR"/>
        </w:rPr>
        <w:t>un requé</w:t>
      </w:r>
      <w:r w:rsidR="007C5302" w:rsidRPr="00B069E1">
        <w:rPr>
          <w:lang w:val="fr-FR"/>
        </w:rPr>
        <w:t>rant peut encore se prétendre « </w:t>
      </w:r>
      <w:r w:rsidR="00FC5D5B" w:rsidRPr="00B069E1">
        <w:rPr>
          <w:lang w:val="fr-FR"/>
        </w:rPr>
        <w:t xml:space="preserve">victime » après avoir épuisé </w:t>
      </w:r>
      <w:r w:rsidR="003F75D9" w:rsidRPr="00B069E1">
        <w:rPr>
          <w:lang w:val="fr-FR"/>
        </w:rPr>
        <w:t>le « recours Pinto »</w:t>
      </w:r>
      <w:r w:rsidR="00FC5D5B" w:rsidRPr="00B069E1">
        <w:rPr>
          <w:lang w:val="fr-FR"/>
        </w:rPr>
        <w:t xml:space="preserve">, il doit se voir accorder la différence entre la somme obtenue </w:t>
      </w:r>
      <w:r w:rsidR="003F75D9" w:rsidRPr="00B069E1">
        <w:rPr>
          <w:lang w:val="fr-FR"/>
        </w:rPr>
        <w:t>et celle non</w:t>
      </w:r>
      <w:r w:rsidR="00FC5D5B" w:rsidRPr="00B069E1">
        <w:rPr>
          <w:lang w:val="fr-FR"/>
        </w:rPr>
        <w:t xml:space="preserve"> manifestement déraisonnable </w:t>
      </w:r>
      <w:r w:rsidR="003F75D9" w:rsidRPr="00B069E1">
        <w:rPr>
          <w:lang w:val="fr-FR"/>
        </w:rPr>
        <w:t xml:space="preserve">en comparaison au montant </w:t>
      </w:r>
      <w:r w:rsidR="002558DC" w:rsidRPr="00B069E1">
        <w:rPr>
          <w:lang w:val="fr-FR"/>
        </w:rPr>
        <w:t xml:space="preserve">qui aurait été octroyé </w:t>
      </w:r>
      <w:r w:rsidR="00FC5D5B" w:rsidRPr="00B069E1">
        <w:rPr>
          <w:lang w:val="fr-FR"/>
        </w:rPr>
        <w:t xml:space="preserve">par la Cour </w:t>
      </w:r>
      <w:r w:rsidR="002558DC" w:rsidRPr="00B069E1">
        <w:rPr>
          <w:lang w:val="fr-FR"/>
        </w:rPr>
        <w:t>en l</w:t>
      </w:r>
      <w:r w:rsidR="00B069E1" w:rsidRPr="00B069E1">
        <w:rPr>
          <w:lang w:val="fr-FR"/>
        </w:rPr>
        <w:t>’</w:t>
      </w:r>
      <w:r w:rsidR="002558DC" w:rsidRPr="00B069E1">
        <w:rPr>
          <w:lang w:val="fr-FR"/>
        </w:rPr>
        <w:t>absence de voies de recours internes accessibles et effectives</w:t>
      </w:r>
      <w:r w:rsidR="003F75D9" w:rsidRPr="00B069E1">
        <w:rPr>
          <w:lang w:val="fr-FR"/>
        </w:rPr>
        <w:t xml:space="preserve"> (</w:t>
      </w:r>
      <w:r w:rsidR="00FC3A52" w:rsidRPr="00B069E1">
        <w:rPr>
          <w:lang w:val="fr-FR"/>
        </w:rPr>
        <w:t xml:space="preserve">voir </w:t>
      </w:r>
      <w:r w:rsidR="003F75D9" w:rsidRPr="00B069E1">
        <w:rPr>
          <w:i/>
          <w:lang w:val="fr-FR"/>
        </w:rPr>
        <w:t>Cocchiarella</w:t>
      </w:r>
      <w:r w:rsidR="003F75D9" w:rsidRPr="00B069E1">
        <w:rPr>
          <w:lang w:val="fr-FR"/>
        </w:rPr>
        <w:t>, précité, § 140)</w:t>
      </w:r>
      <w:r w:rsidR="00FC5D5B" w:rsidRPr="00B069E1">
        <w:rPr>
          <w:lang w:val="fr-FR"/>
        </w:rPr>
        <w:t xml:space="preserve">. </w:t>
      </w:r>
      <w:r w:rsidR="00AF7054" w:rsidRPr="00B069E1">
        <w:rPr>
          <w:lang w:val="fr-FR"/>
        </w:rPr>
        <w:t>En l</w:t>
      </w:r>
      <w:r w:rsidR="00B069E1" w:rsidRPr="00B069E1">
        <w:rPr>
          <w:lang w:val="fr-FR"/>
        </w:rPr>
        <w:t>’</w:t>
      </w:r>
      <w:r w:rsidR="00AF7054" w:rsidRPr="00B069E1">
        <w:rPr>
          <w:lang w:val="fr-FR"/>
        </w:rPr>
        <w:t xml:space="preserve">espèce, la Cour note que les juridictions internes ont </w:t>
      </w:r>
      <w:r w:rsidR="00B069E1" w:rsidRPr="00B069E1">
        <w:rPr>
          <w:lang w:val="fr-FR"/>
        </w:rPr>
        <w:t>accordé 4 </w:t>
      </w:r>
      <w:r w:rsidR="00AF7054" w:rsidRPr="00B069E1">
        <w:rPr>
          <w:lang w:val="fr-FR"/>
        </w:rPr>
        <w:t>000 EUR pour chaque requérant, ce qui représente environ 21% de ce que la Cour aurait accordé en l</w:t>
      </w:r>
      <w:r w:rsidR="00B069E1" w:rsidRPr="00B069E1">
        <w:rPr>
          <w:lang w:val="fr-FR"/>
        </w:rPr>
        <w:t>’</w:t>
      </w:r>
      <w:r w:rsidR="00AF7054" w:rsidRPr="00B069E1">
        <w:rPr>
          <w:lang w:val="fr-FR"/>
        </w:rPr>
        <w:t>absence de voies de recours internes. Cette circonstance aboutit à un résultat manifestement déraisonnable au regard des critères dégagés dans sa jurisprudence.</w:t>
      </w:r>
    </w:p>
    <w:p w:rsidR="006A30A4" w:rsidRPr="00B069E1" w:rsidRDefault="00121A29" w:rsidP="00B069E1">
      <w:pPr>
        <w:pStyle w:val="ECHRPara"/>
        <w:rPr>
          <w:lang w:val="fr-FR"/>
        </w:rPr>
      </w:pPr>
      <w:r w:rsidRPr="00B069E1">
        <w:rPr>
          <w:lang w:val="fr-FR"/>
        </w:rPr>
        <w:fldChar w:fldCharType="begin"/>
      </w:r>
      <w:r w:rsidRPr="00B069E1">
        <w:rPr>
          <w:lang w:val="fr-FR"/>
        </w:rPr>
        <w:instrText xml:space="preserve"> SEQ level0 \*arabic </w:instrText>
      </w:r>
      <w:r w:rsidRPr="00B069E1">
        <w:rPr>
          <w:lang w:val="fr-FR"/>
        </w:rPr>
        <w:fldChar w:fldCharType="separate"/>
      </w:r>
      <w:r w:rsidR="00B069E1" w:rsidRPr="00B069E1">
        <w:rPr>
          <w:noProof/>
          <w:lang w:val="fr-FR"/>
        </w:rPr>
        <w:t>36</w:t>
      </w:r>
      <w:r w:rsidRPr="00B069E1">
        <w:rPr>
          <w:lang w:val="fr-FR"/>
        </w:rPr>
        <w:fldChar w:fldCharType="end"/>
      </w:r>
      <w:r w:rsidRPr="00B069E1">
        <w:rPr>
          <w:lang w:val="fr-FR"/>
        </w:rPr>
        <w:t>.  </w:t>
      </w:r>
      <w:r w:rsidR="006A30A4" w:rsidRPr="00B069E1">
        <w:rPr>
          <w:lang w:val="fr-FR"/>
        </w:rPr>
        <w:t>Par conséquent</w:t>
      </w:r>
      <w:r w:rsidR="001F421A" w:rsidRPr="00B069E1">
        <w:rPr>
          <w:lang w:val="fr-FR"/>
        </w:rPr>
        <w:t xml:space="preserve">, </w:t>
      </w:r>
      <w:r w:rsidR="006A30A4" w:rsidRPr="00B069E1">
        <w:rPr>
          <w:lang w:val="fr-FR"/>
        </w:rPr>
        <w:t>compte tenu de la solution adoptée dans l</w:t>
      </w:r>
      <w:r w:rsidR="00B069E1" w:rsidRPr="00B069E1">
        <w:rPr>
          <w:lang w:val="fr-FR"/>
        </w:rPr>
        <w:t>’</w:t>
      </w:r>
      <w:r w:rsidR="006A30A4" w:rsidRPr="00B069E1">
        <w:rPr>
          <w:lang w:val="fr-FR"/>
        </w:rPr>
        <w:t xml:space="preserve">arrêt </w:t>
      </w:r>
      <w:r w:rsidR="006A30A4" w:rsidRPr="00B069E1">
        <w:rPr>
          <w:i/>
          <w:lang w:val="fr-FR"/>
        </w:rPr>
        <w:t>Cocchiarella</w:t>
      </w:r>
      <w:r w:rsidR="006A30A4" w:rsidRPr="00B069E1">
        <w:rPr>
          <w:lang w:val="fr-FR"/>
        </w:rPr>
        <w:t xml:space="preserve"> (précité, §§ 139-142 et 146</w:t>
      </w:r>
      <w:r w:rsidR="00AF7054" w:rsidRPr="00B069E1">
        <w:rPr>
          <w:lang w:val="fr-FR"/>
        </w:rPr>
        <w:t xml:space="preserve"> ; voir également, </w:t>
      </w:r>
      <w:r w:rsidR="00AF7054" w:rsidRPr="00B069E1">
        <w:rPr>
          <w:i/>
          <w:lang w:val="fr-FR"/>
        </w:rPr>
        <w:t>a contrario</w:t>
      </w:r>
      <w:r w:rsidR="00AF7054" w:rsidRPr="00B069E1">
        <w:rPr>
          <w:lang w:val="fr-FR"/>
        </w:rPr>
        <w:t xml:space="preserve">, </w:t>
      </w:r>
      <w:r w:rsidR="00AF7054" w:rsidRPr="00B069E1">
        <w:rPr>
          <w:i/>
          <w:lang w:val="fr-FR"/>
        </w:rPr>
        <w:t>Garino</w:t>
      </w:r>
      <w:r w:rsidR="00AF7054" w:rsidRPr="00B069E1">
        <w:rPr>
          <w:lang w:val="fr-FR"/>
        </w:rPr>
        <w:t xml:space="preserve">, </w:t>
      </w:r>
      <w:r w:rsidR="00DB6A0D" w:rsidRPr="00B069E1">
        <w:rPr>
          <w:lang w:val="fr-FR"/>
        </w:rPr>
        <w:t xml:space="preserve">décision </w:t>
      </w:r>
      <w:r w:rsidR="00AF7054" w:rsidRPr="00B069E1">
        <w:rPr>
          <w:lang w:val="fr-FR"/>
        </w:rPr>
        <w:t>précitée</w:t>
      </w:r>
      <w:r w:rsidR="006A30A4" w:rsidRPr="00B069E1">
        <w:rPr>
          <w:lang w:val="fr-FR"/>
        </w:rPr>
        <w:t xml:space="preserve">) et statuant en équité, </w:t>
      </w:r>
      <w:r w:rsidR="001F421A" w:rsidRPr="00B069E1">
        <w:rPr>
          <w:lang w:val="fr-FR"/>
        </w:rPr>
        <w:t xml:space="preserve">la Cour </w:t>
      </w:r>
      <w:r w:rsidR="006A30A4" w:rsidRPr="00B069E1">
        <w:rPr>
          <w:lang w:val="fr-FR"/>
        </w:rPr>
        <w:t>alloue à chaque requérant 4 500 EUR pour dommage moral.</w:t>
      </w:r>
    </w:p>
    <w:p w:rsidR="00E77CB3" w:rsidRPr="00B069E1" w:rsidRDefault="00E77CB3" w:rsidP="00B069E1">
      <w:pPr>
        <w:pStyle w:val="ECHRHeading2"/>
        <w:rPr>
          <w:lang w:val="fr-FR"/>
        </w:rPr>
      </w:pPr>
      <w:r w:rsidRPr="00B069E1">
        <w:rPr>
          <w:lang w:val="fr-FR"/>
        </w:rPr>
        <w:t>B.  Frais et dépens</w:t>
      </w:r>
    </w:p>
    <w:p w:rsidR="00E304EA" w:rsidRPr="00B069E1" w:rsidRDefault="00C44054" w:rsidP="00B069E1">
      <w:pPr>
        <w:pStyle w:val="ECHRPara"/>
        <w:rPr>
          <w:lang w:val="fr-FR"/>
        </w:rPr>
      </w:pPr>
      <w:r w:rsidRPr="00B069E1">
        <w:rPr>
          <w:lang w:val="fr-FR"/>
        </w:rPr>
        <w:fldChar w:fldCharType="begin"/>
      </w:r>
      <w:r w:rsidRPr="00B069E1">
        <w:rPr>
          <w:lang w:val="fr-FR"/>
        </w:rPr>
        <w:instrText xml:space="preserve"> SEQ level0 \*arabic </w:instrText>
      </w:r>
      <w:r w:rsidRPr="00B069E1">
        <w:rPr>
          <w:lang w:val="fr-FR"/>
        </w:rPr>
        <w:fldChar w:fldCharType="separate"/>
      </w:r>
      <w:r w:rsidR="00B069E1" w:rsidRPr="00B069E1">
        <w:rPr>
          <w:noProof/>
          <w:lang w:val="fr-FR"/>
        </w:rPr>
        <w:t>37</w:t>
      </w:r>
      <w:r w:rsidRPr="00B069E1">
        <w:rPr>
          <w:lang w:val="fr-FR"/>
        </w:rPr>
        <w:fldChar w:fldCharType="end"/>
      </w:r>
      <w:r w:rsidR="00E77CB3" w:rsidRPr="00B069E1">
        <w:rPr>
          <w:lang w:val="fr-FR"/>
        </w:rPr>
        <w:t>.  </w:t>
      </w:r>
      <w:r w:rsidR="00E304EA" w:rsidRPr="00B069E1">
        <w:rPr>
          <w:lang w:val="fr-FR"/>
        </w:rPr>
        <w:t>Lors de l</w:t>
      </w:r>
      <w:r w:rsidR="00B069E1" w:rsidRPr="00B069E1">
        <w:rPr>
          <w:lang w:val="fr-FR"/>
        </w:rPr>
        <w:t>’</w:t>
      </w:r>
      <w:r w:rsidR="00E304EA" w:rsidRPr="00B069E1">
        <w:rPr>
          <w:lang w:val="fr-FR"/>
        </w:rPr>
        <w:t xml:space="preserve">introduction de la requête, les requérants </w:t>
      </w:r>
      <w:r w:rsidR="006C1D0C" w:rsidRPr="00B069E1">
        <w:rPr>
          <w:lang w:val="fr-FR"/>
        </w:rPr>
        <w:t>réclam</w:t>
      </w:r>
      <w:r w:rsidR="00F76EA0" w:rsidRPr="00B069E1">
        <w:rPr>
          <w:lang w:val="fr-FR"/>
        </w:rPr>
        <w:t>aient</w:t>
      </w:r>
      <w:r w:rsidR="006C1D0C" w:rsidRPr="00B069E1">
        <w:rPr>
          <w:lang w:val="fr-FR"/>
        </w:rPr>
        <w:t xml:space="preserve"> </w:t>
      </w:r>
      <w:r w:rsidR="00E304EA" w:rsidRPr="00B069E1">
        <w:rPr>
          <w:lang w:val="fr-FR"/>
        </w:rPr>
        <w:t>1</w:t>
      </w:r>
      <w:r w:rsidR="006C1D0C" w:rsidRPr="00B069E1">
        <w:rPr>
          <w:lang w:val="fr-FR"/>
        </w:rPr>
        <w:t>5 </w:t>
      </w:r>
      <w:r w:rsidR="003F7935" w:rsidRPr="00B069E1">
        <w:rPr>
          <w:lang w:val="fr-FR"/>
        </w:rPr>
        <w:t>0</w:t>
      </w:r>
      <w:r w:rsidR="00E304EA" w:rsidRPr="00B069E1">
        <w:rPr>
          <w:lang w:val="fr-FR"/>
        </w:rPr>
        <w:t xml:space="preserve">00 EUR pour les frais et dépens </w:t>
      </w:r>
      <w:r w:rsidR="00F76EA0" w:rsidRPr="00B069E1">
        <w:rPr>
          <w:lang w:val="fr-FR"/>
        </w:rPr>
        <w:t xml:space="preserve">engagés dans la procédure </w:t>
      </w:r>
      <w:r w:rsidR="00E304EA" w:rsidRPr="00B069E1">
        <w:rPr>
          <w:lang w:val="fr-FR"/>
        </w:rPr>
        <w:t>devant la Cour</w:t>
      </w:r>
      <w:r w:rsidR="00ED12FC" w:rsidRPr="00B069E1">
        <w:rPr>
          <w:lang w:val="fr-FR"/>
        </w:rPr>
        <w:t>. Toutefois, dans leur</w:t>
      </w:r>
      <w:r w:rsidR="00E304EA" w:rsidRPr="00B069E1">
        <w:rPr>
          <w:lang w:val="fr-FR"/>
        </w:rPr>
        <w:t xml:space="preserve">s observations, ils ne </w:t>
      </w:r>
      <w:r w:rsidR="004718F1" w:rsidRPr="00B069E1">
        <w:rPr>
          <w:lang w:val="fr-FR"/>
        </w:rPr>
        <w:t xml:space="preserve">sollicitent </w:t>
      </w:r>
      <w:r w:rsidR="00E304EA" w:rsidRPr="00B069E1">
        <w:rPr>
          <w:lang w:val="fr-FR"/>
        </w:rPr>
        <w:t>aucun</w:t>
      </w:r>
      <w:r w:rsidR="004718F1" w:rsidRPr="00B069E1">
        <w:rPr>
          <w:lang w:val="fr-FR"/>
        </w:rPr>
        <w:t xml:space="preserve">e somme </w:t>
      </w:r>
      <w:r w:rsidR="00E304EA" w:rsidRPr="00B069E1">
        <w:rPr>
          <w:lang w:val="fr-FR"/>
        </w:rPr>
        <w:t>à ce titre</w:t>
      </w:r>
      <w:r w:rsidR="003F7935" w:rsidRPr="00B069E1">
        <w:rPr>
          <w:lang w:val="fr-FR"/>
        </w:rPr>
        <w:t>.</w:t>
      </w:r>
    </w:p>
    <w:p w:rsidR="00E304EA" w:rsidRPr="00B069E1" w:rsidRDefault="003F7935" w:rsidP="00B069E1">
      <w:pPr>
        <w:pStyle w:val="ECHRPara"/>
        <w:rPr>
          <w:lang w:val="fr-FR"/>
        </w:rPr>
      </w:pPr>
      <w:r w:rsidRPr="00B069E1">
        <w:rPr>
          <w:lang w:val="fr-FR"/>
        </w:rPr>
        <w:fldChar w:fldCharType="begin"/>
      </w:r>
      <w:r w:rsidRPr="00B069E1">
        <w:rPr>
          <w:lang w:val="fr-FR"/>
        </w:rPr>
        <w:instrText xml:space="preserve"> SEQ level0 \*arabic </w:instrText>
      </w:r>
      <w:r w:rsidRPr="00B069E1">
        <w:rPr>
          <w:lang w:val="fr-FR"/>
        </w:rPr>
        <w:fldChar w:fldCharType="separate"/>
      </w:r>
      <w:r w:rsidR="00B069E1" w:rsidRPr="00B069E1">
        <w:rPr>
          <w:noProof/>
          <w:lang w:val="fr-FR"/>
        </w:rPr>
        <w:t>38</w:t>
      </w:r>
      <w:r w:rsidRPr="00B069E1">
        <w:rPr>
          <w:lang w:val="fr-FR"/>
        </w:rPr>
        <w:fldChar w:fldCharType="end"/>
      </w:r>
      <w:r w:rsidRPr="00B069E1">
        <w:rPr>
          <w:lang w:val="fr-FR"/>
        </w:rPr>
        <w:t>.  </w:t>
      </w:r>
      <w:r w:rsidR="00E304EA" w:rsidRPr="00B069E1">
        <w:rPr>
          <w:lang w:val="fr-FR"/>
        </w:rPr>
        <w:t xml:space="preserve">Selon sa jurisprudence constante (voir, notamment, </w:t>
      </w:r>
      <w:r w:rsidR="00E304EA" w:rsidRPr="00B069E1">
        <w:rPr>
          <w:i/>
          <w:lang w:val="fr-FR"/>
        </w:rPr>
        <w:t>Andrea Corsi c.</w:t>
      </w:r>
      <w:r w:rsidR="004718F1" w:rsidRPr="00B069E1">
        <w:rPr>
          <w:i/>
          <w:lang w:val="fr-FR"/>
        </w:rPr>
        <w:t> </w:t>
      </w:r>
      <w:r w:rsidR="00E304EA" w:rsidRPr="00B069E1">
        <w:rPr>
          <w:i/>
          <w:lang w:val="fr-FR"/>
        </w:rPr>
        <w:t>Italie</w:t>
      </w:r>
      <w:r w:rsidR="0045449E" w:rsidRPr="00B069E1">
        <w:rPr>
          <w:lang w:val="fr-FR"/>
        </w:rPr>
        <w:t>, n</w:t>
      </w:r>
      <w:r w:rsidR="00272D89" w:rsidRPr="00B069E1">
        <w:rPr>
          <w:vertAlign w:val="superscript"/>
          <w:lang w:val="fr-FR"/>
        </w:rPr>
        <w:t>o</w:t>
      </w:r>
      <w:r w:rsidR="00E304EA" w:rsidRPr="00B069E1">
        <w:rPr>
          <w:lang w:val="fr-FR"/>
        </w:rPr>
        <w:t xml:space="preserve"> 42210/98, 4 juillet 2002, </w:t>
      </w:r>
      <w:r w:rsidR="00E304EA" w:rsidRPr="00B069E1">
        <w:rPr>
          <w:i/>
          <w:lang w:val="fr-FR"/>
        </w:rPr>
        <w:t>Andrea Corsi c. Italie</w:t>
      </w:r>
      <w:r w:rsidR="00E304EA" w:rsidRPr="00B069E1">
        <w:rPr>
          <w:lang w:val="fr-FR"/>
        </w:rPr>
        <w:t xml:space="preserve"> (révision), n</w:t>
      </w:r>
      <w:r w:rsidR="00272D89" w:rsidRPr="00B069E1">
        <w:rPr>
          <w:vertAlign w:val="superscript"/>
          <w:lang w:val="fr-FR"/>
        </w:rPr>
        <w:t>o</w:t>
      </w:r>
      <w:r w:rsidR="004718F1" w:rsidRPr="00B069E1">
        <w:rPr>
          <w:lang w:val="fr-FR"/>
        </w:rPr>
        <w:t> </w:t>
      </w:r>
      <w:r w:rsidR="00E304EA" w:rsidRPr="00B069E1">
        <w:rPr>
          <w:lang w:val="fr-FR"/>
        </w:rPr>
        <w:t xml:space="preserve">42210/98, 2 octobre 2003, </w:t>
      </w:r>
      <w:r w:rsidR="00E304EA" w:rsidRPr="00B069E1">
        <w:rPr>
          <w:i/>
          <w:lang w:val="fr-FR"/>
        </w:rPr>
        <w:t>Willekens c. Belgique</w:t>
      </w:r>
      <w:r w:rsidR="00E304EA" w:rsidRPr="00B069E1">
        <w:rPr>
          <w:lang w:val="fr-FR"/>
        </w:rPr>
        <w:t>, n</w:t>
      </w:r>
      <w:r w:rsidR="00272D89" w:rsidRPr="00B069E1">
        <w:rPr>
          <w:vertAlign w:val="superscript"/>
          <w:lang w:val="fr-FR"/>
        </w:rPr>
        <w:t>o</w:t>
      </w:r>
      <w:r w:rsidR="00E304EA" w:rsidRPr="00B069E1">
        <w:rPr>
          <w:lang w:val="fr-FR"/>
        </w:rPr>
        <w:t xml:space="preserve"> 50859/99, 24</w:t>
      </w:r>
      <w:r w:rsidR="004718F1" w:rsidRPr="00B069E1">
        <w:rPr>
          <w:lang w:val="fr-FR"/>
        </w:rPr>
        <w:t> </w:t>
      </w:r>
      <w:r w:rsidR="00E304EA" w:rsidRPr="00B069E1">
        <w:rPr>
          <w:lang w:val="fr-FR"/>
        </w:rPr>
        <w:t>avril</w:t>
      </w:r>
      <w:r w:rsidR="00B069E1" w:rsidRPr="00B069E1">
        <w:rPr>
          <w:lang w:val="fr-FR"/>
        </w:rPr>
        <w:t xml:space="preserve"> </w:t>
      </w:r>
      <w:r w:rsidR="00E304EA" w:rsidRPr="00B069E1">
        <w:rPr>
          <w:lang w:val="fr-FR"/>
        </w:rPr>
        <w:t xml:space="preserve">2003, et </w:t>
      </w:r>
      <w:r w:rsidR="00E304EA" w:rsidRPr="00B069E1">
        <w:rPr>
          <w:i/>
          <w:lang w:val="fr-FR"/>
        </w:rPr>
        <w:t>Mancini c. Italie</w:t>
      </w:r>
      <w:r w:rsidR="00E304EA" w:rsidRPr="00B069E1">
        <w:rPr>
          <w:lang w:val="fr-FR"/>
        </w:rPr>
        <w:t>, n</w:t>
      </w:r>
      <w:r w:rsidR="00272D89" w:rsidRPr="00B069E1">
        <w:rPr>
          <w:vertAlign w:val="superscript"/>
          <w:lang w:val="fr-FR"/>
        </w:rPr>
        <w:t>o</w:t>
      </w:r>
      <w:r w:rsidR="00E304EA" w:rsidRPr="00B069E1">
        <w:rPr>
          <w:lang w:val="fr-FR"/>
        </w:rPr>
        <w:t xml:space="preserve"> 44955/98, CEDH 2001-IX), la Cour n</w:t>
      </w:r>
      <w:r w:rsidR="00B069E1" w:rsidRPr="00B069E1">
        <w:rPr>
          <w:lang w:val="fr-FR"/>
        </w:rPr>
        <w:t>’</w:t>
      </w:r>
      <w:r w:rsidR="00E304EA" w:rsidRPr="00B069E1">
        <w:rPr>
          <w:lang w:val="fr-FR"/>
        </w:rPr>
        <w:t>octroie aucune somme à titre de satisfaction équitable</w:t>
      </w:r>
      <w:r w:rsidR="000E4C2A" w:rsidRPr="00B069E1">
        <w:rPr>
          <w:lang w:val="fr-FR"/>
        </w:rPr>
        <w:t>, y inclus le remboursement des frais et dépens,</w:t>
      </w:r>
      <w:r w:rsidR="00E304EA" w:rsidRPr="00B069E1">
        <w:rPr>
          <w:lang w:val="fr-FR"/>
        </w:rPr>
        <w:t xml:space="preserve"> lorsque les prétentions chiffrées et les justificatifs nécessaires n</w:t>
      </w:r>
      <w:r w:rsidR="00B069E1" w:rsidRPr="00B069E1">
        <w:rPr>
          <w:lang w:val="fr-FR"/>
        </w:rPr>
        <w:t>’</w:t>
      </w:r>
      <w:r w:rsidR="00E304EA" w:rsidRPr="00B069E1">
        <w:rPr>
          <w:lang w:val="fr-FR"/>
        </w:rPr>
        <w:t>ont pas été soumis</w:t>
      </w:r>
      <w:r w:rsidR="0045449E" w:rsidRPr="00B069E1">
        <w:rPr>
          <w:lang w:val="fr-FR"/>
        </w:rPr>
        <w:t xml:space="preserve">, </w:t>
      </w:r>
      <w:r w:rsidR="00212BE5" w:rsidRPr="00B069E1">
        <w:rPr>
          <w:lang w:val="fr-FR"/>
        </w:rPr>
        <w:t>conformément à</w:t>
      </w:r>
      <w:r w:rsidR="00E304EA" w:rsidRPr="00B069E1">
        <w:rPr>
          <w:lang w:val="fr-FR"/>
        </w:rPr>
        <w:t xml:space="preserve"> </w:t>
      </w:r>
      <w:r w:rsidR="0045449E" w:rsidRPr="00B069E1">
        <w:rPr>
          <w:lang w:val="fr-FR"/>
        </w:rPr>
        <w:t>l</w:t>
      </w:r>
      <w:r w:rsidR="00B069E1" w:rsidRPr="00B069E1">
        <w:rPr>
          <w:lang w:val="fr-FR"/>
        </w:rPr>
        <w:t>’</w:t>
      </w:r>
      <w:r w:rsidR="0045449E" w:rsidRPr="00B069E1">
        <w:rPr>
          <w:lang w:val="fr-FR"/>
        </w:rPr>
        <w:t>article</w:t>
      </w:r>
      <w:r w:rsidR="00B069E1" w:rsidRPr="00B069E1">
        <w:rPr>
          <w:lang w:val="fr-FR"/>
        </w:rPr>
        <w:t xml:space="preserve"> </w:t>
      </w:r>
      <w:r w:rsidR="0045449E" w:rsidRPr="00B069E1">
        <w:rPr>
          <w:lang w:val="fr-FR"/>
        </w:rPr>
        <w:t>60</w:t>
      </w:r>
      <w:r w:rsidR="004718F1" w:rsidRPr="00B069E1">
        <w:rPr>
          <w:lang w:val="fr-FR"/>
        </w:rPr>
        <w:t> </w:t>
      </w:r>
      <w:r w:rsidR="0045449E" w:rsidRPr="00B069E1">
        <w:rPr>
          <w:lang w:val="fr-FR"/>
        </w:rPr>
        <w:t>§</w:t>
      </w:r>
      <w:r w:rsidR="004718F1" w:rsidRPr="00B069E1">
        <w:rPr>
          <w:lang w:val="fr-FR"/>
        </w:rPr>
        <w:t> </w:t>
      </w:r>
      <w:r w:rsidR="0045449E" w:rsidRPr="00B069E1">
        <w:rPr>
          <w:lang w:val="fr-FR"/>
        </w:rPr>
        <w:t>1 du règlement, dans les observations écrites sur le fond</w:t>
      </w:r>
      <w:r w:rsidR="00F76EA0" w:rsidRPr="00B069E1">
        <w:rPr>
          <w:lang w:val="fr-FR"/>
        </w:rPr>
        <w:t>, et ce</w:t>
      </w:r>
      <w:r w:rsidR="0045449E" w:rsidRPr="00B069E1">
        <w:rPr>
          <w:lang w:val="fr-FR"/>
        </w:rPr>
        <w:t xml:space="preserve"> </w:t>
      </w:r>
      <w:r w:rsidR="00E304EA" w:rsidRPr="00B069E1">
        <w:rPr>
          <w:lang w:val="fr-FR"/>
        </w:rPr>
        <w:t>même dans le cas où la partie requérante aurait indiqué ses prétentions à un stade antérieur de la procédure (</w:t>
      </w:r>
      <w:r w:rsidR="00E304EA" w:rsidRPr="00B069E1">
        <w:rPr>
          <w:i/>
          <w:lang w:val="fr-FR"/>
        </w:rPr>
        <w:t>Fadıl Yılmaz c. Turquie</w:t>
      </w:r>
      <w:r w:rsidR="00E304EA" w:rsidRPr="00B069E1">
        <w:rPr>
          <w:lang w:val="fr-FR"/>
        </w:rPr>
        <w:t>, n</w:t>
      </w:r>
      <w:r w:rsidR="00272D89" w:rsidRPr="00B069E1">
        <w:rPr>
          <w:vertAlign w:val="superscript"/>
          <w:lang w:val="fr-FR"/>
        </w:rPr>
        <w:t>o</w:t>
      </w:r>
      <w:r w:rsidR="00E304EA" w:rsidRPr="00B069E1">
        <w:rPr>
          <w:lang w:val="fr-FR"/>
        </w:rPr>
        <w:t xml:space="preserve"> 28171/02, § 26, 21 juillet 2005, et </w:t>
      </w:r>
      <w:r w:rsidR="00E304EA" w:rsidRPr="00B069E1">
        <w:rPr>
          <w:i/>
          <w:lang w:val="fr-FR"/>
        </w:rPr>
        <w:t>Kravchenko et autres (logements militaires) c. Russie</w:t>
      </w:r>
      <w:r w:rsidR="00E304EA" w:rsidRPr="00B069E1">
        <w:rPr>
          <w:lang w:val="fr-FR"/>
        </w:rPr>
        <w:t>, n</w:t>
      </w:r>
      <w:r w:rsidR="00E304EA" w:rsidRPr="00B069E1">
        <w:rPr>
          <w:vertAlign w:val="superscript"/>
          <w:lang w:val="fr-FR"/>
        </w:rPr>
        <w:t>os</w:t>
      </w:r>
      <w:r w:rsidR="007C5302" w:rsidRPr="00B069E1">
        <w:rPr>
          <w:lang w:val="fr-FR"/>
        </w:rPr>
        <w:t> </w:t>
      </w:r>
      <w:r w:rsidR="00E304EA" w:rsidRPr="00B069E1">
        <w:rPr>
          <w:lang w:val="fr-FR"/>
        </w:rPr>
        <w:t xml:space="preserve">11609/05, 12516/05, 17393/05, 20214/05, 25724/05, 32953/05, 1953/06, 10908/06, 16101/06, 26696/06, 40417/06, 44437/06, 44977/06, 46544/06, 50835/06, 22635/07, 36662/07, 36951/07, 38501/07, </w:t>
      </w:r>
      <w:r w:rsidR="00B069E1" w:rsidRPr="00B069E1">
        <w:rPr>
          <w:lang w:val="fr-FR"/>
        </w:rPr>
        <w:t>54307/07, 22723/08, 36406/08 et </w:t>
      </w:r>
      <w:r w:rsidR="00E304EA" w:rsidRPr="00B069E1">
        <w:rPr>
          <w:lang w:val="fr-FR"/>
        </w:rPr>
        <w:t>55990/08, § 51, 16 septembre 2010).</w:t>
      </w:r>
    </w:p>
    <w:p w:rsidR="00E304EA" w:rsidRPr="00B069E1" w:rsidRDefault="00E304EA" w:rsidP="00B069E1">
      <w:pPr>
        <w:pStyle w:val="ECHRPara"/>
        <w:rPr>
          <w:lang w:val="fr-FR"/>
        </w:rPr>
      </w:pPr>
      <w:r w:rsidRPr="00B069E1">
        <w:rPr>
          <w:lang w:val="fr-FR"/>
        </w:rPr>
        <w:fldChar w:fldCharType="begin"/>
      </w:r>
      <w:r w:rsidRPr="00B069E1">
        <w:rPr>
          <w:lang w:val="fr-FR"/>
        </w:rPr>
        <w:instrText xml:space="preserve"> SEQ level0 \*arabic </w:instrText>
      </w:r>
      <w:r w:rsidRPr="00B069E1">
        <w:rPr>
          <w:lang w:val="fr-FR"/>
        </w:rPr>
        <w:fldChar w:fldCharType="separate"/>
      </w:r>
      <w:r w:rsidR="00B069E1" w:rsidRPr="00B069E1">
        <w:rPr>
          <w:noProof/>
          <w:lang w:val="fr-FR"/>
        </w:rPr>
        <w:t>39</w:t>
      </w:r>
      <w:r w:rsidRPr="00B069E1">
        <w:rPr>
          <w:lang w:val="fr-FR"/>
        </w:rPr>
        <w:fldChar w:fldCharType="end"/>
      </w:r>
      <w:r w:rsidRPr="00B069E1">
        <w:rPr>
          <w:lang w:val="fr-FR"/>
        </w:rPr>
        <w:t>.  </w:t>
      </w:r>
      <w:r w:rsidR="00544106" w:rsidRPr="00B069E1">
        <w:rPr>
          <w:lang w:val="fr-FR"/>
        </w:rPr>
        <w:t>L</w:t>
      </w:r>
      <w:r w:rsidRPr="00B069E1">
        <w:rPr>
          <w:lang w:val="fr-FR"/>
        </w:rPr>
        <w:t>e</w:t>
      </w:r>
      <w:r w:rsidR="006D31FB" w:rsidRPr="00B069E1">
        <w:rPr>
          <w:lang w:val="fr-FR"/>
        </w:rPr>
        <w:t>s</w:t>
      </w:r>
      <w:r w:rsidRPr="00B069E1">
        <w:rPr>
          <w:lang w:val="fr-FR"/>
        </w:rPr>
        <w:t xml:space="preserve"> requérant</w:t>
      </w:r>
      <w:r w:rsidR="006D31FB" w:rsidRPr="00B069E1">
        <w:rPr>
          <w:lang w:val="fr-FR"/>
        </w:rPr>
        <w:t>s</w:t>
      </w:r>
      <w:r w:rsidRPr="00B069E1">
        <w:rPr>
          <w:lang w:val="fr-FR"/>
        </w:rPr>
        <w:t xml:space="preserve"> </w:t>
      </w:r>
      <w:r w:rsidR="00A36939" w:rsidRPr="00B069E1">
        <w:rPr>
          <w:lang w:val="fr-FR"/>
        </w:rPr>
        <w:t>n</w:t>
      </w:r>
      <w:r w:rsidR="00B069E1" w:rsidRPr="00B069E1">
        <w:rPr>
          <w:lang w:val="fr-FR"/>
        </w:rPr>
        <w:t>’</w:t>
      </w:r>
      <w:r w:rsidR="00544106" w:rsidRPr="00B069E1">
        <w:rPr>
          <w:lang w:val="fr-FR"/>
        </w:rPr>
        <w:t>ayan</w:t>
      </w:r>
      <w:r w:rsidR="00A36939" w:rsidRPr="00B069E1">
        <w:rPr>
          <w:lang w:val="fr-FR"/>
        </w:rPr>
        <w:t xml:space="preserve">t </w:t>
      </w:r>
      <w:r w:rsidRPr="00B069E1">
        <w:rPr>
          <w:lang w:val="fr-FR"/>
        </w:rPr>
        <w:t>pas satisfait aux obligations qui l</w:t>
      </w:r>
      <w:r w:rsidR="006D31FB" w:rsidRPr="00B069E1">
        <w:rPr>
          <w:lang w:val="fr-FR"/>
        </w:rPr>
        <w:t>eur</w:t>
      </w:r>
      <w:r w:rsidRPr="00B069E1">
        <w:rPr>
          <w:lang w:val="fr-FR"/>
        </w:rPr>
        <w:t xml:space="preserve"> incombaient aux termes de l</w:t>
      </w:r>
      <w:r w:rsidR="00B069E1" w:rsidRPr="00B069E1">
        <w:rPr>
          <w:lang w:val="fr-FR"/>
        </w:rPr>
        <w:t>’</w:t>
      </w:r>
      <w:r w:rsidRPr="00B069E1">
        <w:rPr>
          <w:lang w:val="fr-FR"/>
        </w:rPr>
        <w:t xml:space="preserve">article 60 du règlement, la Cour </w:t>
      </w:r>
      <w:r w:rsidR="00544106" w:rsidRPr="00B069E1">
        <w:rPr>
          <w:lang w:val="fr-FR"/>
        </w:rPr>
        <w:t>estime</w:t>
      </w:r>
      <w:r w:rsidR="00A36939" w:rsidRPr="00B069E1">
        <w:rPr>
          <w:lang w:val="fr-FR"/>
        </w:rPr>
        <w:t xml:space="preserve"> qu</w:t>
      </w:r>
      <w:r w:rsidR="00B069E1" w:rsidRPr="00B069E1">
        <w:rPr>
          <w:lang w:val="fr-FR"/>
        </w:rPr>
        <w:t>’</w:t>
      </w:r>
      <w:r w:rsidR="00A36939" w:rsidRPr="00B069E1">
        <w:rPr>
          <w:lang w:val="fr-FR"/>
        </w:rPr>
        <w:t>il convient</w:t>
      </w:r>
      <w:r w:rsidRPr="00B069E1">
        <w:rPr>
          <w:lang w:val="fr-FR"/>
        </w:rPr>
        <w:t xml:space="preserve"> de n</w:t>
      </w:r>
      <w:r w:rsidR="00A36939" w:rsidRPr="00B069E1">
        <w:rPr>
          <w:lang w:val="fr-FR"/>
        </w:rPr>
        <w:t xml:space="preserve">e leur </w:t>
      </w:r>
      <w:r w:rsidRPr="00B069E1">
        <w:rPr>
          <w:lang w:val="fr-FR"/>
        </w:rPr>
        <w:t xml:space="preserve">allouer </w:t>
      </w:r>
      <w:r w:rsidR="00A36939" w:rsidRPr="00B069E1">
        <w:rPr>
          <w:lang w:val="fr-FR"/>
        </w:rPr>
        <w:t xml:space="preserve">aucune </w:t>
      </w:r>
      <w:r w:rsidRPr="00B069E1">
        <w:rPr>
          <w:lang w:val="fr-FR"/>
        </w:rPr>
        <w:t>somme pour frais et dépens.</w:t>
      </w:r>
    </w:p>
    <w:p w:rsidR="00E77CB3" w:rsidRPr="00B069E1" w:rsidRDefault="00E77CB3" w:rsidP="00B069E1">
      <w:pPr>
        <w:pStyle w:val="ECHRHeading2"/>
        <w:rPr>
          <w:lang w:val="fr-FR"/>
        </w:rPr>
      </w:pPr>
      <w:r w:rsidRPr="00B069E1">
        <w:rPr>
          <w:lang w:val="fr-FR"/>
        </w:rPr>
        <w:lastRenderedPageBreak/>
        <w:t>C.  Intérêts moratoires</w:t>
      </w:r>
    </w:p>
    <w:p w:rsidR="00E77CB3" w:rsidRPr="00B069E1" w:rsidRDefault="00C44054" w:rsidP="00B069E1">
      <w:pPr>
        <w:pStyle w:val="ECHRPara"/>
        <w:rPr>
          <w:lang w:val="fr-FR"/>
        </w:rPr>
      </w:pPr>
      <w:r w:rsidRPr="00B069E1">
        <w:rPr>
          <w:lang w:val="fr-FR"/>
        </w:rPr>
        <w:fldChar w:fldCharType="begin"/>
      </w:r>
      <w:r w:rsidRPr="00B069E1">
        <w:rPr>
          <w:lang w:val="fr-FR"/>
        </w:rPr>
        <w:instrText xml:space="preserve"> SEQ level0 \*arabic </w:instrText>
      </w:r>
      <w:r w:rsidRPr="00B069E1">
        <w:rPr>
          <w:lang w:val="fr-FR"/>
        </w:rPr>
        <w:fldChar w:fldCharType="separate"/>
      </w:r>
      <w:r w:rsidR="00B069E1" w:rsidRPr="00B069E1">
        <w:rPr>
          <w:noProof/>
          <w:lang w:val="fr-FR"/>
        </w:rPr>
        <w:t>40</w:t>
      </w:r>
      <w:r w:rsidRPr="00B069E1">
        <w:rPr>
          <w:lang w:val="fr-FR"/>
        </w:rPr>
        <w:fldChar w:fldCharType="end"/>
      </w:r>
      <w:r w:rsidR="00E77CB3" w:rsidRPr="00B069E1">
        <w:rPr>
          <w:lang w:val="fr-FR"/>
        </w:rPr>
        <w:t>.  La Cour juge approprié de calquer le taux des intérêts moratoires sur le taux d</w:t>
      </w:r>
      <w:r w:rsidR="00B069E1" w:rsidRPr="00B069E1">
        <w:rPr>
          <w:lang w:val="fr-FR"/>
        </w:rPr>
        <w:t>’</w:t>
      </w:r>
      <w:r w:rsidR="00E77CB3" w:rsidRPr="00B069E1">
        <w:rPr>
          <w:lang w:val="fr-FR"/>
        </w:rPr>
        <w:t>intérêt de la facilité de prêt marginal de la Banque centrale européenne majoré de trois points de pourcentage.</w:t>
      </w:r>
    </w:p>
    <w:p w:rsidR="00E77CB3" w:rsidRPr="00B069E1" w:rsidRDefault="00E77CB3" w:rsidP="00B069E1">
      <w:pPr>
        <w:pStyle w:val="ECHRTitle1"/>
        <w:rPr>
          <w:lang w:val="fr-FR"/>
        </w:rPr>
      </w:pPr>
      <w:r w:rsidRPr="00B069E1">
        <w:rPr>
          <w:lang w:val="fr-FR"/>
        </w:rPr>
        <w:t>PAR CES MOTIFS, LA COUR</w:t>
      </w:r>
      <w:r w:rsidR="00C44054" w:rsidRPr="00B069E1">
        <w:rPr>
          <w:lang w:val="fr-FR"/>
        </w:rPr>
        <w:t>, À L</w:t>
      </w:r>
      <w:r w:rsidR="00B069E1" w:rsidRPr="00B069E1">
        <w:rPr>
          <w:lang w:val="fr-FR"/>
        </w:rPr>
        <w:t>’</w:t>
      </w:r>
      <w:r w:rsidR="00C44054" w:rsidRPr="00B069E1">
        <w:rPr>
          <w:lang w:val="fr-FR"/>
        </w:rPr>
        <w:t>UNANIMITÉ,</w:t>
      </w:r>
    </w:p>
    <w:p w:rsidR="00FB2B45" w:rsidRPr="00B069E1" w:rsidRDefault="00FB2B45" w:rsidP="00B069E1">
      <w:pPr>
        <w:pStyle w:val="JuList"/>
        <w:rPr>
          <w:lang w:val="fr-FR"/>
        </w:rPr>
      </w:pPr>
      <w:r w:rsidRPr="00B069E1">
        <w:rPr>
          <w:lang w:val="fr-FR"/>
        </w:rPr>
        <w:t>1.  </w:t>
      </w:r>
      <w:r w:rsidRPr="00B069E1">
        <w:rPr>
          <w:i/>
          <w:lang w:val="fr-FR"/>
        </w:rPr>
        <w:t>Déclare</w:t>
      </w:r>
      <w:r w:rsidRPr="00B069E1">
        <w:rPr>
          <w:lang w:val="fr-FR"/>
        </w:rPr>
        <w:t xml:space="preserve"> </w:t>
      </w:r>
      <w:r w:rsidR="00C44054" w:rsidRPr="00B069E1">
        <w:rPr>
          <w:lang w:val="fr-FR"/>
        </w:rPr>
        <w:t>la requête recevable</w:t>
      </w:r>
      <w:r w:rsidR="00FE5019" w:rsidRPr="00B069E1">
        <w:rPr>
          <w:lang w:val="fr-FR"/>
        </w:rPr>
        <w:t> ;</w:t>
      </w:r>
    </w:p>
    <w:p w:rsidR="00E77CB3" w:rsidRPr="00B069E1" w:rsidRDefault="00E77CB3" w:rsidP="00B069E1">
      <w:pPr>
        <w:pStyle w:val="JuList"/>
        <w:ind w:left="0" w:firstLine="0"/>
        <w:rPr>
          <w:lang w:val="fr-FR"/>
        </w:rPr>
      </w:pPr>
    </w:p>
    <w:p w:rsidR="00E77CB3" w:rsidRPr="00B069E1" w:rsidRDefault="00FE5019" w:rsidP="00B069E1">
      <w:pPr>
        <w:pStyle w:val="JuList"/>
        <w:rPr>
          <w:lang w:val="fr-FR"/>
        </w:rPr>
      </w:pPr>
      <w:r w:rsidRPr="00B069E1">
        <w:rPr>
          <w:lang w:val="fr-FR"/>
        </w:rPr>
        <w:t>2</w:t>
      </w:r>
      <w:r w:rsidR="00E77CB3" w:rsidRPr="00B069E1">
        <w:rPr>
          <w:lang w:val="fr-FR"/>
        </w:rPr>
        <w:t>.  </w:t>
      </w:r>
      <w:r w:rsidR="00E77CB3" w:rsidRPr="00B069E1">
        <w:rPr>
          <w:i/>
          <w:lang w:val="fr-FR"/>
        </w:rPr>
        <w:t>Dit</w:t>
      </w:r>
      <w:r w:rsidR="00E77CB3" w:rsidRPr="00B069E1">
        <w:rPr>
          <w:lang w:val="fr-FR"/>
        </w:rPr>
        <w:t xml:space="preserve"> qu</w:t>
      </w:r>
      <w:r w:rsidR="00B069E1" w:rsidRPr="00B069E1">
        <w:rPr>
          <w:lang w:val="fr-FR"/>
        </w:rPr>
        <w:t>’</w:t>
      </w:r>
      <w:r w:rsidR="00E77CB3" w:rsidRPr="00B069E1">
        <w:rPr>
          <w:lang w:val="fr-FR"/>
        </w:rPr>
        <w:t>il y a eu violation de l</w:t>
      </w:r>
      <w:r w:rsidR="00B069E1" w:rsidRPr="00B069E1">
        <w:rPr>
          <w:lang w:val="fr-FR"/>
        </w:rPr>
        <w:t>’</w:t>
      </w:r>
      <w:r w:rsidR="00E77CB3" w:rsidRPr="00B069E1">
        <w:rPr>
          <w:lang w:val="fr-FR"/>
        </w:rPr>
        <w:t xml:space="preserve">article </w:t>
      </w:r>
      <w:r w:rsidRPr="00B069E1">
        <w:rPr>
          <w:lang w:val="fr-FR"/>
        </w:rPr>
        <w:t>6 § 1</w:t>
      </w:r>
      <w:r w:rsidR="00E77CB3" w:rsidRPr="00B069E1">
        <w:rPr>
          <w:lang w:val="fr-FR"/>
        </w:rPr>
        <w:t xml:space="preserve"> de la Convention ;</w:t>
      </w:r>
    </w:p>
    <w:p w:rsidR="00E77CB3" w:rsidRPr="00B069E1" w:rsidRDefault="00E77CB3" w:rsidP="00B069E1">
      <w:pPr>
        <w:pStyle w:val="JuList"/>
        <w:ind w:left="0" w:firstLine="0"/>
        <w:rPr>
          <w:lang w:val="fr-FR"/>
        </w:rPr>
      </w:pPr>
    </w:p>
    <w:p w:rsidR="00B069E1" w:rsidRPr="00B069E1" w:rsidRDefault="00FE5019" w:rsidP="00B069E1">
      <w:pPr>
        <w:pStyle w:val="JuList"/>
        <w:rPr>
          <w:lang w:val="fr-FR"/>
        </w:rPr>
      </w:pPr>
      <w:r w:rsidRPr="00B069E1">
        <w:rPr>
          <w:lang w:val="fr-FR"/>
        </w:rPr>
        <w:t>3</w:t>
      </w:r>
      <w:r w:rsidR="00E77CB3" w:rsidRPr="00B069E1">
        <w:rPr>
          <w:lang w:val="fr-FR"/>
        </w:rPr>
        <w:t>.  </w:t>
      </w:r>
      <w:r w:rsidR="00E77CB3" w:rsidRPr="00B069E1">
        <w:rPr>
          <w:i/>
          <w:lang w:val="fr-FR"/>
        </w:rPr>
        <w:t>Dit</w:t>
      </w:r>
    </w:p>
    <w:p w:rsidR="00E77CB3" w:rsidRPr="00B069E1" w:rsidRDefault="00E77CB3" w:rsidP="00B069E1">
      <w:pPr>
        <w:pStyle w:val="JuLista"/>
        <w:rPr>
          <w:lang w:val="fr-FR" w:eastAsia="en-GB"/>
        </w:rPr>
      </w:pPr>
      <w:r w:rsidRPr="00B069E1">
        <w:rPr>
          <w:lang w:val="fr-FR"/>
        </w:rPr>
        <w:t>a)  que l</w:t>
      </w:r>
      <w:r w:rsidR="00B069E1" w:rsidRPr="00B069E1">
        <w:rPr>
          <w:lang w:val="fr-FR"/>
        </w:rPr>
        <w:t>’</w:t>
      </w:r>
      <w:r w:rsidRPr="00B069E1">
        <w:rPr>
          <w:lang w:val="fr-FR"/>
        </w:rPr>
        <w:t xml:space="preserve">État défendeur doit verser </w:t>
      </w:r>
      <w:r w:rsidR="00F76EA0" w:rsidRPr="00B069E1">
        <w:rPr>
          <w:lang w:val="fr-FR"/>
        </w:rPr>
        <w:t xml:space="preserve">à chacun des </w:t>
      </w:r>
      <w:r w:rsidR="00C44054" w:rsidRPr="00B069E1">
        <w:rPr>
          <w:lang w:val="fr-FR"/>
        </w:rPr>
        <w:t>requérants</w:t>
      </w:r>
      <w:r w:rsidRPr="00B069E1">
        <w:rPr>
          <w:lang w:val="fr-FR"/>
        </w:rPr>
        <w:t>, dans les trois mois</w:t>
      </w:r>
      <w:r w:rsidR="00FE5019" w:rsidRPr="00B069E1">
        <w:rPr>
          <w:lang w:val="fr-FR"/>
        </w:rPr>
        <w:t xml:space="preserve"> </w:t>
      </w:r>
      <w:r w:rsidR="00C44054" w:rsidRPr="00B069E1">
        <w:rPr>
          <w:lang w:val="fr-FR"/>
        </w:rPr>
        <w:t>à compter du jour où l</w:t>
      </w:r>
      <w:r w:rsidR="00B069E1" w:rsidRPr="00B069E1">
        <w:rPr>
          <w:lang w:val="fr-FR"/>
        </w:rPr>
        <w:t>’</w:t>
      </w:r>
      <w:r w:rsidR="00C44054" w:rsidRPr="00B069E1">
        <w:rPr>
          <w:lang w:val="fr-FR"/>
        </w:rPr>
        <w:t>arrêt sera devenu définitif conformément à l</w:t>
      </w:r>
      <w:r w:rsidR="00B069E1" w:rsidRPr="00B069E1">
        <w:rPr>
          <w:lang w:val="fr-FR"/>
        </w:rPr>
        <w:t>’</w:t>
      </w:r>
      <w:r w:rsidR="00C44054" w:rsidRPr="00B069E1">
        <w:rPr>
          <w:lang w:val="fr-FR"/>
        </w:rPr>
        <w:t>article 44 § 2 de la Convention</w:t>
      </w:r>
      <w:r w:rsidRPr="00B069E1">
        <w:rPr>
          <w:lang w:val="fr-FR"/>
        </w:rPr>
        <w:t>,</w:t>
      </w:r>
      <w:r w:rsidR="00FE5019" w:rsidRPr="00B069E1">
        <w:rPr>
          <w:lang w:val="fr-FR"/>
        </w:rPr>
        <w:t xml:space="preserve"> 4 500 EUR (quatre mille cinq cents euros)</w:t>
      </w:r>
      <w:r w:rsidRPr="00B069E1">
        <w:rPr>
          <w:lang w:val="fr-FR"/>
        </w:rPr>
        <w:t xml:space="preserve"> </w:t>
      </w:r>
      <w:r w:rsidRPr="00B069E1">
        <w:rPr>
          <w:lang w:val="fr-FR" w:eastAsia="en-GB"/>
        </w:rPr>
        <w:t>plus tout montant pouvant être dû à titre d</w:t>
      </w:r>
      <w:r w:rsidR="00B069E1" w:rsidRPr="00B069E1">
        <w:rPr>
          <w:lang w:val="fr-FR" w:eastAsia="en-GB"/>
        </w:rPr>
        <w:t>’</w:t>
      </w:r>
      <w:r w:rsidRPr="00B069E1">
        <w:rPr>
          <w:lang w:val="fr-FR" w:eastAsia="en-GB"/>
        </w:rPr>
        <w:t>impôt, pour dommage moral ;</w:t>
      </w:r>
    </w:p>
    <w:p w:rsidR="00E77CB3" w:rsidRPr="00B069E1" w:rsidRDefault="00E77CB3" w:rsidP="00B069E1">
      <w:pPr>
        <w:pStyle w:val="JuLista"/>
        <w:rPr>
          <w:lang w:val="fr-FR"/>
        </w:rPr>
      </w:pPr>
      <w:r w:rsidRPr="00B069E1">
        <w:rPr>
          <w:lang w:val="fr-FR"/>
        </w:rPr>
        <w:t>b)  qu</w:t>
      </w:r>
      <w:r w:rsidR="00B069E1" w:rsidRPr="00B069E1">
        <w:rPr>
          <w:lang w:val="fr-FR"/>
        </w:rPr>
        <w:t>’</w:t>
      </w:r>
      <w:r w:rsidRPr="00B069E1">
        <w:rPr>
          <w:lang w:val="fr-FR"/>
        </w:rPr>
        <w:t>à compter de l</w:t>
      </w:r>
      <w:r w:rsidR="00B069E1" w:rsidRPr="00B069E1">
        <w:rPr>
          <w:lang w:val="fr-FR"/>
        </w:rPr>
        <w:t>’</w:t>
      </w:r>
      <w:r w:rsidRPr="00B069E1">
        <w:rPr>
          <w:lang w:val="fr-FR"/>
        </w:rPr>
        <w:t>expiration dudit délai et jusqu</w:t>
      </w:r>
      <w:r w:rsidR="00B069E1" w:rsidRPr="00B069E1">
        <w:rPr>
          <w:lang w:val="fr-FR"/>
        </w:rPr>
        <w:t>’</w:t>
      </w:r>
      <w:r w:rsidRPr="00B069E1">
        <w:rPr>
          <w:lang w:val="fr-FR"/>
        </w:rPr>
        <w:t>au versement, ce montant ser</w:t>
      </w:r>
      <w:r w:rsidR="004718F1" w:rsidRPr="00B069E1">
        <w:rPr>
          <w:lang w:val="fr-FR"/>
        </w:rPr>
        <w:t>a</w:t>
      </w:r>
      <w:r w:rsidRPr="00B069E1">
        <w:rPr>
          <w:lang w:val="fr-FR"/>
        </w:rPr>
        <w:t xml:space="preserve"> à majorer d</w:t>
      </w:r>
      <w:r w:rsidR="00B069E1" w:rsidRPr="00B069E1">
        <w:rPr>
          <w:lang w:val="fr-FR"/>
        </w:rPr>
        <w:t>’</w:t>
      </w:r>
      <w:r w:rsidRPr="00B069E1">
        <w:rPr>
          <w:lang w:val="fr-FR"/>
        </w:rPr>
        <w:t>un intérêt simple à un taux égal à celui de la facilité de prêt marginal de la Banque centrale européenne applicable pendant cette période, augmenté de trois points de pourcentage ;</w:t>
      </w:r>
    </w:p>
    <w:p w:rsidR="00E77CB3" w:rsidRPr="00B069E1" w:rsidRDefault="00E77CB3" w:rsidP="00B069E1">
      <w:pPr>
        <w:pStyle w:val="JuLista"/>
        <w:rPr>
          <w:lang w:val="fr-FR"/>
        </w:rPr>
      </w:pPr>
    </w:p>
    <w:p w:rsidR="00E77CB3" w:rsidRPr="00B069E1" w:rsidRDefault="00FE5019" w:rsidP="00B069E1">
      <w:pPr>
        <w:pStyle w:val="JuList"/>
        <w:rPr>
          <w:lang w:val="fr-FR"/>
        </w:rPr>
      </w:pPr>
      <w:r w:rsidRPr="00B069E1">
        <w:rPr>
          <w:lang w:val="fr-FR"/>
        </w:rPr>
        <w:t>4</w:t>
      </w:r>
      <w:r w:rsidR="00E77CB3" w:rsidRPr="00B069E1">
        <w:rPr>
          <w:lang w:val="fr-FR"/>
        </w:rPr>
        <w:t>.  </w:t>
      </w:r>
      <w:r w:rsidR="00E77CB3" w:rsidRPr="00B069E1">
        <w:rPr>
          <w:i/>
          <w:lang w:val="fr-FR"/>
        </w:rPr>
        <w:t>Rejette</w:t>
      </w:r>
      <w:r w:rsidR="00E77CB3" w:rsidRPr="00B069E1">
        <w:rPr>
          <w:lang w:val="fr-FR"/>
        </w:rPr>
        <w:t xml:space="preserve"> la demande de satisfaction équitable pour le surplus.</w:t>
      </w:r>
    </w:p>
    <w:p w:rsidR="00E77CB3" w:rsidRPr="00B069E1" w:rsidRDefault="00E77CB3" w:rsidP="00B069E1">
      <w:pPr>
        <w:pStyle w:val="JuParaLast"/>
        <w:rPr>
          <w:lang w:val="fr-FR"/>
        </w:rPr>
      </w:pPr>
      <w:r w:rsidRPr="00B069E1">
        <w:rPr>
          <w:lang w:val="fr-FR"/>
        </w:rPr>
        <w:t>Fait en françai</w:t>
      </w:r>
      <w:r w:rsidR="007C5302" w:rsidRPr="00B069E1">
        <w:rPr>
          <w:lang w:val="fr-FR"/>
        </w:rPr>
        <w:t>s, puis communiqué par écrit le 13 avril 2017</w:t>
      </w:r>
      <w:r w:rsidRPr="00B069E1">
        <w:rPr>
          <w:lang w:val="fr-FR"/>
        </w:rPr>
        <w:t>, en application de l</w:t>
      </w:r>
      <w:r w:rsidR="00B069E1" w:rsidRPr="00B069E1">
        <w:rPr>
          <w:lang w:val="fr-FR"/>
        </w:rPr>
        <w:t>’</w:t>
      </w:r>
      <w:r w:rsidRPr="00B069E1">
        <w:rPr>
          <w:lang w:val="fr-FR"/>
        </w:rPr>
        <w:t>article 77 §§ 2 et 3 du règlement</w:t>
      </w:r>
      <w:r w:rsidR="00AC0824" w:rsidRPr="00B069E1">
        <w:rPr>
          <w:lang w:val="fr-FR"/>
        </w:rPr>
        <w:t xml:space="preserve"> de la Cour</w:t>
      </w:r>
      <w:r w:rsidRPr="00B069E1">
        <w:rPr>
          <w:lang w:val="fr-FR"/>
        </w:rPr>
        <w:t>.</w:t>
      </w:r>
    </w:p>
    <w:p w:rsidR="004052BC" w:rsidRPr="00B069E1" w:rsidRDefault="00C44054" w:rsidP="00B069E1">
      <w:pPr>
        <w:pStyle w:val="JuSigned"/>
        <w:keepNext/>
        <w:keepLines/>
        <w:tabs>
          <w:tab w:val="clear" w:pos="6407"/>
          <w:tab w:val="center" w:pos="5812"/>
        </w:tabs>
        <w:rPr>
          <w:lang w:val="fr-FR"/>
        </w:rPr>
      </w:pPr>
      <w:r w:rsidRPr="00B069E1">
        <w:rPr>
          <w:lang w:val="fr-FR"/>
        </w:rPr>
        <w:tab/>
        <w:t>Abel Campos</w:t>
      </w:r>
      <w:r w:rsidR="00B64F2F" w:rsidRPr="00B069E1">
        <w:rPr>
          <w:lang w:val="fr-FR"/>
        </w:rPr>
        <w:tab/>
        <w:t>Linos Alexandre Sicilianos</w:t>
      </w:r>
      <w:r w:rsidR="00B069E1" w:rsidRPr="00B069E1">
        <w:rPr>
          <w:lang w:val="fr-FR"/>
        </w:rPr>
        <w:br/>
      </w:r>
      <w:r w:rsidR="00E77CB3" w:rsidRPr="00B069E1">
        <w:rPr>
          <w:lang w:val="fr-FR"/>
        </w:rPr>
        <w:tab/>
      </w:r>
      <w:r w:rsidRPr="00B069E1">
        <w:rPr>
          <w:lang w:val="fr-FR"/>
        </w:rPr>
        <w:t>Greffier</w:t>
      </w:r>
      <w:r w:rsidR="00E77CB3" w:rsidRPr="00B069E1">
        <w:rPr>
          <w:lang w:val="fr-FR"/>
        </w:rPr>
        <w:tab/>
      </w:r>
      <w:r w:rsidR="004052BC" w:rsidRPr="00B069E1">
        <w:rPr>
          <w:lang w:val="fr-FR"/>
        </w:rPr>
        <w:t>Président</w:t>
      </w:r>
    </w:p>
    <w:p w:rsidR="004E7B5C" w:rsidRPr="00B069E1" w:rsidRDefault="004E7B5C" w:rsidP="00B069E1">
      <w:pPr>
        <w:pStyle w:val="JuSigned"/>
        <w:keepNext/>
        <w:keepLines/>
        <w:tabs>
          <w:tab w:val="clear" w:pos="6407"/>
          <w:tab w:val="center" w:pos="5812"/>
        </w:tabs>
        <w:rPr>
          <w:lang w:val="fr-FR"/>
        </w:rPr>
      </w:pPr>
      <w:r w:rsidRPr="00B069E1">
        <w:rPr>
          <w:lang w:val="fr-FR"/>
        </w:rPr>
        <w:br w:type="page"/>
      </w:r>
    </w:p>
    <w:p w:rsidR="00F13FFC" w:rsidRPr="00B069E1" w:rsidRDefault="00F13FFC" w:rsidP="00B069E1">
      <w:pPr>
        <w:pStyle w:val="JuTitle"/>
        <w:rPr>
          <w:rStyle w:val="JuITMark"/>
          <w:rFonts w:asciiTheme="minorHAnsi" w:hAnsiTheme="minorHAnsi"/>
          <w:b w:val="0"/>
          <w:caps w:val="0"/>
          <w:sz w:val="24"/>
          <w:shd w:val="clear" w:color="auto" w:fill="auto"/>
          <w:lang w:val="fr-FR"/>
        </w:rPr>
      </w:pPr>
      <w:r w:rsidRPr="00B069E1">
        <w:rPr>
          <w:lang w:val="fr-FR"/>
        </w:rPr>
        <w:lastRenderedPageBreak/>
        <w:t>ANNEXE</w:t>
      </w:r>
    </w:p>
    <w:tbl>
      <w:tblPr>
        <w:tblStyle w:val="ECHRListTable"/>
        <w:tblW w:w="4065" w:type="pct"/>
        <w:jc w:val="center"/>
        <w:tblLook w:val="05E0" w:firstRow="1" w:lastRow="1" w:firstColumn="1" w:lastColumn="1" w:noHBand="0" w:noVBand="1"/>
      </w:tblPr>
      <w:tblGrid>
        <w:gridCol w:w="678"/>
        <w:gridCol w:w="2549"/>
        <w:gridCol w:w="1703"/>
        <w:gridCol w:w="1228"/>
      </w:tblGrid>
      <w:tr w:rsidR="004052BC" w:rsidRPr="00B069E1" w:rsidTr="004052BC">
        <w:trPr>
          <w:cnfStyle w:val="100000000000" w:firstRow="1" w:lastRow="0" w:firstColumn="0" w:lastColumn="0" w:oddVBand="0" w:evenVBand="0" w:oddHBand="0" w:evenHBand="0" w:firstRowFirstColumn="0" w:firstRowLastColumn="0" w:lastRowFirstColumn="0" w:lastRowLastColumn="0"/>
          <w:jc w:val="center"/>
        </w:trPr>
        <w:tc>
          <w:tcPr>
            <w:tcW w:w="550" w:type="pct"/>
          </w:tcPr>
          <w:p w:rsidR="004052BC" w:rsidRPr="00B069E1" w:rsidRDefault="004052BC" w:rsidP="00B069E1">
            <w:pPr>
              <w:jc w:val="center"/>
            </w:pPr>
            <w:r w:rsidRPr="00B069E1">
              <w:t>N</w:t>
            </w:r>
            <w:r w:rsidRPr="00B069E1">
              <w:rPr>
                <w:vertAlign w:val="superscript"/>
              </w:rPr>
              <w:t>o</w:t>
            </w:r>
            <w:r w:rsidRPr="00B069E1">
              <w:t>.</w:t>
            </w:r>
          </w:p>
        </w:tc>
        <w:tc>
          <w:tcPr>
            <w:tcW w:w="2070" w:type="pct"/>
          </w:tcPr>
          <w:p w:rsidR="004052BC" w:rsidRPr="00B069E1" w:rsidRDefault="004052BC" w:rsidP="00B069E1">
            <w:pPr>
              <w:jc w:val="center"/>
            </w:pPr>
            <w:r w:rsidRPr="00B069E1">
              <w:t>Prénom NOM</w:t>
            </w:r>
          </w:p>
        </w:tc>
        <w:tc>
          <w:tcPr>
            <w:tcW w:w="1383" w:type="pct"/>
          </w:tcPr>
          <w:p w:rsidR="004052BC" w:rsidRPr="00B069E1" w:rsidRDefault="004052BC" w:rsidP="00B069E1">
            <w:pPr>
              <w:jc w:val="center"/>
            </w:pPr>
            <w:r w:rsidRPr="00B069E1">
              <w:t>Date de naissance</w:t>
            </w:r>
          </w:p>
        </w:tc>
        <w:tc>
          <w:tcPr>
            <w:tcW w:w="998" w:type="pct"/>
          </w:tcPr>
          <w:p w:rsidR="004052BC" w:rsidRPr="00B069E1" w:rsidRDefault="004052BC" w:rsidP="00B069E1">
            <w:pPr>
              <w:jc w:val="center"/>
            </w:pPr>
            <w:r w:rsidRPr="00B069E1">
              <w:t>Lieu de résidence</w:t>
            </w:r>
          </w:p>
        </w:tc>
      </w:tr>
      <w:tr w:rsidR="004052BC" w:rsidRPr="00B069E1" w:rsidTr="004052BC">
        <w:trPr>
          <w:jc w:val="center"/>
        </w:trPr>
        <w:tc>
          <w:tcPr>
            <w:tcW w:w="550" w:type="pct"/>
          </w:tcPr>
          <w:p w:rsidR="004052BC" w:rsidRPr="00B069E1" w:rsidRDefault="004052BC" w:rsidP="00B069E1">
            <w:pPr>
              <w:pStyle w:val="Paragrafoelenco"/>
              <w:numPr>
                <w:ilvl w:val="0"/>
                <w:numId w:val="16"/>
              </w:numPr>
              <w:jc w:val="center"/>
              <w:rPr>
                <w:b/>
              </w:rPr>
            </w:pPr>
          </w:p>
        </w:tc>
        <w:tc>
          <w:tcPr>
            <w:tcW w:w="2070" w:type="pct"/>
          </w:tcPr>
          <w:p w:rsidR="004052BC" w:rsidRPr="00B069E1" w:rsidRDefault="004052BC" w:rsidP="00B069E1">
            <w:pPr>
              <w:jc w:val="center"/>
            </w:pPr>
            <w:r w:rsidRPr="00B069E1">
              <w:t>Fabrizio FASAN</w:t>
            </w:r>
          </w:p>
        </w:tc>
        <w:tc>
          <w:tcPr>
            <w:tcW w:w="1383" w:type="pct"/>
          </w:tcPr>
          <w:p w:rsidR="004052BC" w:rsidRPr="00B069E1" w:rsidRDefault="004052BC" w:rsidP="00B069E1">
            <w:pPr>
              <w:jc w:val="center"/>
            </w:pPr>
            <w:r w:rsidRPr="00B069E1">
              <w:t>29/05/1946</w:t>
            </w:r>
          </w:p>
        </w:tc>
        <w:tc>
          <w:tcPr>
            <w:tcW w:w="998" w:type="pct"/>
          </w:tcPr>
          <w:p w:rsidR="004052BC" w:rsidRPr="00B069E1" w:rsidRDefault="004052BC" w:rsidP="00B069E1">
            <w:pPr>
              <w:jc w:val="center"/>
            </w:pPr>
            <w:r w:rsidRPr="00B069E1">
              <w:t>Rome</w:t>
            </w:r>
          </w:p>
        </w:tc>
      </w:tr>
      <w:tr w:rsidR="004052BC" w:rsidRPr="00B069E1" w:rsidTr="004052BC">
        <w:trPr>
          <w:jc w:val="center"/>
        </w:trPr>
        <w:tc>
          <w:tcPr>
            <w:tcW w:w="550" w:type="pct"/>
          </w:tcPr>
          <w:p w:rsidR="004052BC" w:rsidRPr="00B069E1" w:rsidRDefault="004052BC" w:rsidP="00B069E1">
            <w:pPr>
              <w:pStyle w:val="Paragrafoelenco"/>
              <w:numPr>
                <w:ilvl w:val="0"/>
                <w:numId w:val="16"/>
              </w:numPr>
              <w:jc w:val="center"/>
              <w:rPr>
                <w:b/>
              </w:rPr>
            </w:pPr>
          </w:p>
        </w:tc>
        <w:tc>
          <w:tcPr>
            <w:tcW w:w="2070" w:type="pct"/>
          </w:tcPr>
          <w:p w:rsidR="004052BC" w:rsidRPr="00B069E1" w:rsidRDefault="004052BC" w:rsidP="00B069E1">
            <w:pPr>
              <w:jc w:val="center"/>
            </w:pPr>
            <w:r w:rsidRPr="00B069E1">
              <w:t>Carmine ALBERELLI</w:t>
            </w:r>
          </w:p>
        </w:tc>
        <w:tc>
          <w:tcPr>
            <w:tcW w:w="1383" w:type="pct"/>
          </w:tcPr>
          <w:p w:rsidR="004052BC" w:rsidRPr="00B069E1" w:rsidRDefault="004052BC" w:rsidP="00B069E1">
            <w:pPr>
              <w:jc w:val="center"/>
            </w:pPr>
            <w:r w:rsidRPr="00B069E1">
              <w:t>30/06/1954</w:t>
            </w:r>
          </w:p>
        </w:tc>
        <w:tc>
          <w:tcPr>
            <w:tcW w:w="998" w:type="pct"/>
          </w:tcPr>
          <w:p w:rsidR="004052BC" w:rsidRPr="00B069E1" w:rsidRDefault="004052BC" w:rsidP="00B069E1">
            <w:pPr>
              <w:jc w:val="center"/>
            </w:pPr>
            <w:r w:rsidRPr="00B069E1">
              <w:t>Rome</w:t>
            </w:r>
          </w:p>
        </w:tc>
      </w:tr>
      <w:tr w:rsidR="004052BC" w:rsidRPr="00B069E1" w:rsidTr="004052BC">
        <w:trPr>
          <w:jc w:val="center"/>
        </w:trPr>
        <w:tc>
          <w:tcPr>
            <w:tcW w:w="550" w:type="pct"/>
          </w:tcPr>
          <w:p w:rsidR="004052BC" w:rsidRPr="00B069E1" w:rsidRDefault="004052BC" w:rsidP="00B069E1">
            <w:pPr>
              <w:pStyle w:val="Paragrafoelenco"/>
              <w:numPr>
                <w:ilvl w:val="0"/>
                <w:numId w:val="16"/>
              </w:numPr>
              <w:jc w:val="center"/>
              <w:rPr>
                <w:b/>
              </w:rPr>
            </w:pPr>
          </w:p>
        </w:tc>
        <w:tc>
          <w:tcPr>
            <w:tcW w:w="2070" w:type="pct"/>
          </w:tcPr>
          <w:p w:rsidR="004052BC" w:rsidRPr="00B069E1" w:rsidRDefault="004052BC" w:rsidP="00B069E1">
            <w:pPr>
              <w:jc w:val="center"/>
            </w:pPr>
            <w:r w:rsidRPr="00B069E1">
              <w:t>Luciano CACCIARI</w:t>
            </w:r>
          </w:p>
        </w:tc>
        <w:tc>
          <w:tcPr>
            <w:tcW w:w="1383" w:type="pct"/>
          </w:tcPr>
          <w:p w:rsidR="004052BC" w:rsidRPr="00B069E1" w:rsidRDefault="004052BC" w:rsidP="00B069E1">
            <w:pPr>
              <w:jc w:val="center"/>
            </w:pPr>
            <w:r w:rsidRPr="00B069E1">
              <w:t>14/12/1944</w:t>
            </w:r>
          </w:p>
        </w:tc>
        <w:tc>
          <w:tcPr>
            <w:tcW w:w="998" w:type="pct"/>
          </w:tcPr>
          <w:p w:rsidR="004052BC" w:rsidRPr="00B069E1" w:rsidRDefault="004052BC" w:rsidP="00B069E1">
            <w:pPr>
              <w:jc w:val="center"/>
            </w:pPr>
            <w:r w:rsidRPr="00B069E1">
              <w:t>Rome</w:t>
            </w:r>
          </w:p>
        </w:tc>
      </w:tr>
      <w:tr w:rsidR="004052BC" w:rsidRPr="00B069E1" w:rsidTr="004052BC">
        <w:trPr>
          <w:jc w:val="center"/>
        </w:trPr>
        <w:tc>
          <w:tcPr>
            <w:tcW w:w="550" w:type="pct"/>
          </w:tcPr>
          <w:p w:rsidR="004052BC" w:rsidRPr="00B069E1" w:rsidRDefault="004052BC" w:rsidP="00B069E1">
            <w:pPr>
              <w:pStyle w:val="Paragrafoelenco"/>
              <w:numPr>
                <w:ilvl w:val="0"/>
                <w:numId w:val="16"/>
              </w:numPr>
              <w:jc w:val="center"/>
              <w:rPr>
                <w:b/>
              </w:rPr>
            </w:pPr>
          </w:p>
        </w:tc>
        <w:tc>
          <w:tcPr>
            <w:tcW w:w="2070" w:type="pct"/>
          </w:tcPr>
          <w:p w:rsidR="004052BC" w:rsidRPr="00B069E1" w:rsidRDefault="004052BC" w:rsidP="00B069E1">
            <w:pPr>
              <w:jc w:val="center"/>
            </w:pPr>
            <w:r w:rsidRPr="00B069E1">
              <w:t>Antonio FERRETTI</w:t>
            </w:r>
          </w:p>
        </w:tc>
        <w:tc>
          <w:tcPr>
            <w:tcW w:w="1383" w:type="pct"/>
          </w:tcPr>
          <w:p w:rsidR="004052BC" w:rsidRPr="00B069E1" w:rsidRDefault="004052BC" w:rsidP="00B069E1">
            <w:pPr>
              <w:jc w:val="center"/>
            </w:pPr>
            <w:r w:rsidRPr="00B069E1">
              <w:t>22/06/1950</w:t>
            </w:r>
          </w:p>
        </w:tc>
        <w:tc>
          <w:tcPr>
            <w:tcW w:w="998" w:type="pct"/>
          </w:tcPr>
          <w:p w:rsidR="004052BC" w:rsidRPr="00B069E1" w:rsidRDefault="004052BC" w:rsidP="00B069E1">
            <w:pPr>
              <w:jc w:val="center"/>
            </w:pPr>
            <w:r w:rsidRPr="00B069E1">
              <w:t>Rome</w:t>
            </w:r>
          </w:p>
        </w:tc>
      </w:tr>
      <w:tr w:rsidR="004052BC" w:rsidRPr="00B069E1" w:rsidTr="004052BC">
        <w:trPr>
          <w:jc w:val="center"/>
        </w:trPr>
        <w:tc>
          <w:tcPr>
            <w:tcW w:w="550" w:type="pct"/>
          </w:tcPr>
          <w:p w:rsidR="004052BC" w:rsidRPr="00B069E1" w:rsidRDefault="004052BC" w:rsidP="00B069E1">
            <w:pPr>
              <w:pStyle w:val="Paragrafoelenco"/>
              <w:numPr>
                <w:ilvl w:val="0"/>
                <w:numId w:val="16"/>
              </w:numPr>
              <w:jc w:val="center"/>
              <w:rPr>
                <w:b/>
              </w:rPr>
            </w:pPr>
          </w:p>
        </w:tc>
        <w:tc>
          <w:tcPr>
            <w:tcW w:w="2070" w:type="pct"/>
          </w:tcPr>
          <w:p w:rsidR="004052BC" w:rsidRPr="00B069E1" w:rsidRDefault="004052BC" w:rsidP="00B069E1">
            <w:pPr>
              <w:jc w:val="center"/>
            </w:pPr>
            <w:r w:rsidRPr="00B069E1">
              <w:t>Francesco PETRUCCI</w:t>
            </w:r>
          </w:p>
        </w:tc>
        <w:tc>
          <w:tcPr>
            <w:tcW w:w="1383" w:type="pct"/>
          </w:tcPr>
          <w:p w:rsidR="004052BC" w:rsidRPr="00B069E1" w:rsidRDefault="004052BC" w:rsidP="00B069E1">
            <w:pPr>
              <w:jc w:val="center"/>
            </w:pPr>
            <w:r w:rsidRPr="00B069E1">
              <w:t>13/09/1953</w:t>
            </w:r>
          </w:p>
        </w:tc>
        <w:tc>
          <w:tcPr>
            <w:tcW w:w="998" w:type="pct"/>
          </w:tcPr>
          <w:p w:rsidR="004052BC" w:rsidRPr="00B069E1" w:rsidRDefault="004052BC" w:rsidP="00B069E1">
            <w:pPr>
              <w:jc w:val="center"/>
            </w:pPr>
            <w:r w:rsidRPr="00B069E1">
              <w:t>Rome</w:t>
            </w:r>
          </w:p>
        </w:tc>
      </w:tr>
      <w:tr w:rsidR="004052BC" w:rsidRPr="00B069E1" w:rsidTr="004052BC">
        <w:trPr>
          <w:jc w:val="center"/>
        </w:trPr>
        <w:tc>
          <w:tcPr>
            <w:tcW w:w="550" w:type="pct"/>
          </w:tcPr>
          <w:p w:rsidR="004052BC" w:rsidRPr="00B069E1" w:rsidRDefault="004052BC" w:rsidP="00B069E1">
            <w:pPr>
              <w:pStyle w:val="Paragrafoelenco"/>
              <w:numPr>
                <w:ilvl w:val="0"/>
                <w:numId w:val="16"/>
              </w:numPr>
              <w:jc w:val="center"/>
              <w:rPr>
                <w:b/>
              </w:rPr>
            </w:pPr>
          </w:p>
        </w:tc>
        <w:tc>
          <w:tcPr>
            <w:tcW w:w="2070" w:type="pct"/>
          </w:tcPr>
          <w:p w:rsidR="004052BC" w:rsidRPr="00B069E1" w:rsidRDefault="004052BC" w:rsidP="00B069E1">
            <w:pPr>
              <w:jc w:val="center"/>
            </w:pPr>
            <w:r w:rsidRPr="00B069E1">
              <w:t>Alberino SPINELLI</w:t>
            </w:r>
          </w:p>
        </w:tc>
        <w:tc>
          <w:tcPr>
            <w:tcW w:w="1383" w:type="pct"/>
          </w:tcPr>
          <w:p w:rsidR="004052BC" w:rsidRPr="00B069E1" w:rsidRDefault="004052BC" w:rsidP="00B069E1">
            <w:pPr>
              <w:jc w:val="center"/>
            </w:pPr>
            <w:r w:rsidRPr="00B069E1">
              <w:t>24/04/1954</w:t>
            </w:r>
          </w:p>
        </w:tc>
        <w:tc>
          <w:tcPr>
            <w:tcW w:w="998" w:type="pct"/>
          </w:tcPr>
          <w:p w:rsidR="004052BC" w:rsidRPr="00B069E1" w:rsidRDefault="004052BC" w:rsidP="00B069E1">
            <w:pPr>
              <w:jc w:val="center"/>
            </w:pPr>
            <w:r w:rsidRPr="00B069E1">
              <w:t>Rome</w:t>
            </w:r>
          </w:p>
        </w:tc>
      </w:tr>
    </w:tbl>
    <w:p w:rsidR="0035275D" w:rsidRPr="00B069E1" w:rsidRDefault="0035275D" w:rsidP="00B069E1">
      <w:pPr>
        <w:jc w:val="center"/>
        <w:rPr>
          <w:lang w:val="fr-FR"/>
        </w:rPr>
      </w:pPr>
    </w:p>
    <w:sectPr w:rsidR="0035275D" w:rsidRPr="00B069E1" w:rsidSect="00345063">
      <w:headerReference w:type="even" r:id="rId14"/>
      <w:headerReference w:type="default" r:id="rId15"/>
      <w:footnotePr>
        <w:numRestart w:val="eachSect"/>
      </w:footnotePr>
      <w:pgSz w:w="11906" w:h="16838" w:code="9"/>
      <w:pgMar w:top="2268"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78A" w:rsidRPr="00BD0653" w:rsidRDefault="00A8478A" w:rsidP="00E77CB3">
      <w:pPr>
        <w:rPr>
          <w:lang w:val="fr-FR"/>
        </w:rPr>
      </w:pPr>
      <w:r w:rsidRPr="00BD0653">
        <w:rPr>
          <w:lang w:val="fr-FR"/>
        </w:rPr>
        <w:separator/>
      </w:r>
    </w:p>
  </w:endnote>
  <w:endnote w:type="continuationSeparator" w:id="0">
    <w:p w:rsidR="00A8478A" w:rsidRPr="00BD0653" w:rsidRDefault="00A8478A" w:rsidP="00E77CB3">
      <w:pPr>
        <w:rPr>
          <w:lang w:val="fr-FR"/>
        </w:rPr>
      </w:pPr>
      <w:r w:rsidRPr="00BD0653">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063" w:rsidRPr="00150BFA" w:rsidRDefault="00345063" w:rsidP="0020718E">
    <w:pPr>
      <w:jc w:val="center"/>
    </w:pPr>
    <w:r>
      <w:rPr>
        <w:noProof/>
        <w:lang w:val="it-IT" w:eastAsia="it-IT"/>
      </w:rPr>
      <w:drawing>
        <wp:inline distT="0" distB="0" distL="0" distR="0" wp14:anchorId="6D6934E9" wp14:editId="781FBEF5">
          <wp:extent cx="771525" cy="619125"/>
          <wp:effectExtent l="0" t="0" r="9525" b="9525"/>
          <wp:docPr id="13" name="Picture 1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345063" w:rsidRDefault="0034506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78A" w:rsidRPr="00BD0653" w:rsidRDefault="00A8478A" w:rsidP="00E77CB3">
      <w:pPr>
        <w:rPr>
          <w:lang w:val="fr-FR"/>
        </w:rPr>
      </w:pPr>
      <w:r w:rsidRPr="00BD0653">
        <w:rPr>
          <w:lang w:val="fr-FR"/>
        </w:rPr>
        <w:separator/>
      </w:r>
    </w:p>
  </w:footnote>
  <w:footnote w:type="continuationSeparator" w:id="0">
    <w:p w:rsidR="00A8478A" w:rsidRPr="00BD0653" w:rsidRDefault="00A8478A" w:rsidP="00E77CB3">
      <w:pPr>
        <w:rPr>
          <w:lang w:val="fr-FR"/>
        </w:rPr>
      </w:pPr>
      <w:r w:rsidRPr="00BD0653">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D61" w:rsidRPr="00345063" w:rsidRDefault="00FF0D61" w:rsidP="00345063">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063" w:rsidRPr="00A45145" w:rsidRDefault="00345063" w:rsidP="00A45145">
    <w:pPr>
      <w:jc w:val="center"/>
    </w:pPr>
    <w:r>
      <w:rPr>
        <w:noProof/>
        <w:lang w:val="it-IT" w:eastAsia="it-IT"/>
      </w:rPr>
      <w:drawing>
        <wp:inline distT="0" distB="0" distL="0" distR="0" wp14:anchorId="19062567" wp14:editId="1BD5A009">
          <wp:extent cx="2962275" cy="1219200"/>
          <wp:effectExtent l="0" t="0" r="9525" b="0"/>
          <wp:docPr id="12" name="Picture 1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063" w:rsidRPr="00C44054" w:rsidRDefault="00345063" w:rsidP="00C611D8">
    <w:pPr>
      <w:pStyle w:val="ECHRHeader"/>
      <w:rPr>
        <w:lang w:val="fr-FR"/>
      </w:rPr>
    </w:pPr>
    <w:r>
      <w:rPr>
        <w:rStyle w:val="Numeropagina"/>
      </w:rPr>
      <w:fldChar w:fldCharType="begin"/>
    </w:r>
    <w:r w:rsidRPr="00C44054">
      <w:rPr>
        <w:rStyle w:val="Numeropagina"/>
        <w:lang w:val="fr-FR"/>
      </w:rPr>
      <w:instrText xml:space="preserve"> PAGE </w:instrText>
    </w:r>
    <w:r>
      <w:rPr>
        <w:rStyle w:val="Numeropagina"/>
      </w:rPr>
      <w:fldChar w:fldCharType="separate"/>
    </w:r>
    <w:r w:rsidR="00FA69E1">
      <w:rPr>
        <w:rStyle w:val="Numeropagina"/>
        <w:noProof/>
        <w:lang w:val="fr-FR"/>
      </w:rPr>
      <w:t>8</w:t>
    </w:r>
    <w:r>
      <w:rPr>
        <w:rStyle w:val="Numeropagina"/>
      </w:rPr>
      <w:fldChar w:fldCharType="end"/>
    </w:r>
    <w:r w:rsidRPr="00C44054">
      <w:rPr>
        <w:rStyle w:val="Numeropagina"/>
        <w:lang w:val="fr-FR"/>
      </w:rPr>
      <w:tab/>
    </w:r>
    <w:r>
      <w:rPr>
        <w:noProof/>
        <w:lang w:val="fr-FR"/>
      </w:rPr>
      <w:t>ARRÊT</w:t>
    </w:r>
    <w:r w:rsidRPr="00C44054">
      <w:rPr>
        <w:lang w:val="fr-FR"/>
      </w:rPr>
      <w:t xml:space="preserve"> FASAN ET AUTRES c. ITALIE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063" w:rsidRPr="00C44054" w:rsidRDefault="00345063" w:rsidP="00C63990">
    <w:pPr>
      <w:pStyle w:val="ECHRHeader"/>
      <w:rPr>
        <w:lang w:val="fr-FR"/>
      </w:rPr>
    </w:pPr>
    <w:r w:rsidRPr="00BD0653">
      <w:rPr>
        <w:lang w:val="fr-FR"/>
      </w:rPr>
      <w:tab/>
    </w:r>
    <w:r>
      <w:rPr>
        <w:noProof/>
        <w:lang w:val="fr-FR"/>
      </w:rPr>
      <w:t>ARRÊT</w:t>
    </w:r>
    <w:r w:rsidRPr="00C44054">
      <w:rPr>
        <w:lang w:val="fr-FR"/>
      </w:rPr>
      <w:t xml:space="preserve"> FASAN ET AUTRES c. ITALIE</w:t>
    </w:r>
    <w:r w:rsidRPr="00C44054">
      <w:rPr>
        <w:lang w:val="fr-FR"/>
      </w:rPr>
      <w:tab/>
    </w:r>
    <w:r>
      <w:rPr>
        <w:rStyle w:val="Numeropagina"/>
        <w:lang w:val="en-GB"/>
      </w:rPr>
      <w:fldChar w:fldCharType="begin"/>
    </w:r>
    <w:r w:rsidRPr="00C44054">
      <w:rPr>
        <w:rStyle w:val="Numeropagina"/>
        <w:lang w:val="fr-FR"/>
      </w:rPr>
      <w:instrText xml:space="preserve"> PAGE </w:instrText>
    </w:r>
    <w:r>
      <w:rPr>
        <w:rStyle w:val="Numeropagina"/>
        <w:lang w:val="en-GB"/>
      </w:rPr>
      <w:fldChar w:fldCharType="separate"/>
    </w:r>
    <w:r w:rsidR="00FA69E1">
      <w:rPr>
        <w:rStyle w:val="Numeropagina"/>
        <w:noProof/>
        <w:lang w:val="fr-FR"/>
      </w:rPr>
      <w:t>7</w:t>
    </w:r>
    <w:r>
      <w:rPr>
        <w:rStyle w:val="Numeropagina"/>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0AA222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AC189B28"/>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0C4301E"/>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7268F2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FA0A71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03AEA0B8"/>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FE07AB8"/>
    <w:multiLevelType w:val="hybridMultilevel"/>
    <w:tmpl w:val="CED2CB70"/>
    <w:lvl w:ilvl="0" w:tplc="33B2A84C">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5D7306C"/>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9BF6584"/>
    <w:multiLevelType w:val="hybridMultilevel"/>
    <w:tmpl w:val="43DA500C"/>
    <w:lvl w:ilvl="0" w:tplc="EC70069E">
      <w:start w:val="1"/>
      <w:numFmt w:val="decimal"/>
      <w:lvlRestart w:val="0"/>
      <w:lvlText w:val="%1."/>
      <w:lvlJc w:val="left"/>
      <w:pPr>
        <w:tabs>
          <w:tab w:val="num" w:pos="360"/>
        </w:tabs>
        <w:ind w:left="360" w:firstLine="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10"/>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5"/>
  </w:num>
  <w:num w:numId="16">
    <w:abstractNumId w:val="11"/>
  </w:num>
  <w:num w:numId="17">
    <w:abstractNumId w:val="14"/>
  </w:num>
  <w:num w:numId="18">
    <w:abstractNumId w:val="14"/>
  </w:num>
  <w:num w:numId="19">
    <w:abstractNumId w:val="14"/>
  </w:num>
  <w:num w:numId="20">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C44054"/>
    <w:rsid w:val="0000019F"/>
    <w:rsid w:val="00002142"/>
    <w:rsid w:val="000041F8"/>
    <w:rsid w:val="000042A8"/>
    <w:rsid w:val="00004308"/>
    <w:rsid w:val="00005BF0"/>
    <w:rsid w:val="00007154"/>
    <w:rsid w:val="000103AE"/>
    <w:rsid w:val="00011D69"/>
    <w:rsid w:val="00012AD3"/>
    <w:rsid w:val="00015C2D"/>
    <w:rsid w:val="00015F00"/>
    <w:rsid w:val="00022C1D"/>
    <w:rsid w:val="000272EA"/>
    <w:rsid w:val="00031347"/>
    <w:rsid w:val="00034987"/>
    <w:rsid w:val="00043A74"/>
    <w:rsid w:val="00044722"/>
    <w:rsid w:val="000602DF"/>
    <w:rsid w:val="00061B05"/>
    <w:rsid w:val="0006224B"/>
    <w:rsid w:val="000632D5"/>
    <w:rsid w:val="000644EE"/>
    <w:rsid w:val="0006545B"/>
    <w:rsid w:val="00066A71"/>
    <w:rsid w:val="00091066"/>
    <w:rsid w:val="000925AD"/>
    <w:rsid w:val="000A24EB"/>
    <w:rsid w:val="000B390E"/>
    <w:rsid w:val="000B6923"/>
    <w:rsid w:val="000C5F3C"/>
    <w:rsid w:val="000C6DCC"/>
    <w:rsid w:val="000D2496"/>
    <w:rsid w:val="000D47AA"/>
    <w:rsid w:val="000D721F"/>
    <w:rsid w:val="000E069B"/>
    <w:rsid w:val="000E0E82"/>
    <w:rsid w:val="000E1DC5"/>
    <w:rsid w:val="000E223F"/>
    <w:rsid w:val="000E4072"/>
    <w:rsid w:val="000E4C2A"/>
    <w:rsid w:val="000E7D45"/>
    <w:rsid w:val="000F00EF"/>
    <w:rsid w:val="000F06D5"/>
    <w:rsid w:val="000F0A86"/>
    <w:rsid w:val="000F0FA3"/>
    <w:rsid w:val="000F7851"/>
    <w:rsid w:val="00104E23"/>
    <w:rsid w:val="00111B0C"/>
    <w:rsid w:val="00112709"/>
    <w:rsid w:val="00120D6C"/>
    <w:rsid w:val="00121A29"/>
    <w:rsid w:val="001257EC"/>
    <w:rsid w:val="00132695"/>
    <w:rsid w:val="0013304F"/>
    <w:rsid w:val="00133D33"/>
    <w:rsid w:val="00134D64"/>
    <w:rsid w:val="00135A30"/>
    <w:rsid w:val="0013612C"/>
    <w:rsid w:val="00137FF6"/>
    <w:rsid w:val="00141650"/>
    <w:rsid w:val="001516A3"/>
    <w:rsid w:val="00154932"/>
    <w:rsid w:val="0016174F"/>
    <w:rsid w:val="001619D7"/>
    <w:rsid w:val="00162A12"/>
    <w:rsid w:val="001654C0"/>
    <w:rsid w:val="00166530"/>
    <w:rsid w:val="001832BD"/>
    <w:rsid w:val="001943B5"/>
    <w:rsid w:val="00195134"/>
    <w:rsid w:val="001A145B"/>
    <w:rsid w:val="001A674C"/>
    <w:rsid w:val="001B3B24"/>
    <w:rsid w:val="001B48EE"/>
    <w:rsid w:val="001C0F98"/>
    <w:rsid w:val="001C2A42"/>
    <w:rsid w:val="001C41FA"/>
    <w:rsid w:val="001D63ED"/>
    <w:rsid w:val="001D7348"/>
    <w:rsid w:val="001E035B"/>
    <w:rsid w:val="001E0961"/>
    <w:rsid w:val="001E3EAE"/>
    <w:rsid w:val="001E6F32"/>
    <w:rsid w:val="001F0449"/>
    <w:rsid w:val="001F1B6D"/>
    <w:rsid w:val="001F2145"/>
    <w:rsid w:val="001F3B0A"/>
    <w:rsid w:val="001F421A"/>
    <w:rsid w:val="001F4E43"/>
    <w:rsid w:val="001F6262"/>
    <w:rsid w:val="001F67B0"/>
    <w:rsid w:val="001F7B3D"/>
    <w:rsid w:val="00202E5F"/>
    <w:rsid w:val="00205F9F"/>
    <w:rsid w:val="00210338"/>
    <w:rsid w:val="002115FC"/>
    <w:rsid w:val="00212BE5"/>
    <w:rsid w:val="0021423C"/>
    <w:rsid w:val="00230D00"/>
    <w:rsid w:val="00231DF7"/>
    <w:rsid w:val="00231FD1"/>
    <w:rsid w:val="002339E0"/>
    <w:rsid w:val="00233CF8"/>
    <w:rsid w:val="0023575D"/>
    <w:rsid w:val="00237148"/>
    <w:rsid w:val="0024222D"/>
    <w:rsid w:val="00244B0E"/>
    <w:rsid w:val="00244F6C"/>
    <w:rsid w:val="002532C5"/>
    <w:rsid w:val="002558DC"/>
    <w:rsid w:val="00257996"/>
    <w:rsid w:val="00260C03"/>
    <w:rsid w:val="0026540E"/>
    <w:rsid w:val="00272D89"/>
    <w:rsid w:val="00275123"/>
    <w:rsid w:val="00276B20"/>
    <w:rsid w:val="00281934"/>
    <w:rsid w:val="00282240"/>
    <w:rsid w:val="00290A11"/>
    <w:rsid w:val="00291379"/>
    <w:rsid w:val="002931C0"/>
    <w:rsid w:val="002948AD"/>
    <w:rsid w:val="00295627"/>
    <w:rsid w:val="002A01CC"/>
    <w:rsid w:val="002A61B1"/>
    <w:rsid w:val="002A663C"/>
    <w:rsid w:val="002B2E31"/>
    <w:rsid w:val="002B444B"/>
    <w:rsid w:val="002B5887"/>
    <w:rsid w:val="002C0E27"/>
    <w:rsid w:val="002C3040"/>
    <w:rsid w:val="002D022D"/>
    <w:rsid w:val="002D23B6"/>
    <w:rsid w:val="002D24BB"/>
    <w:rsid w:val="002E02CB"/>
    <w:rsid w:val="002E1FE9"/>
    <w:rsid w:val="002F2AF7"/>
    <w:rsid w:val="002F7E1C"/>
    <w:rsid w:val="00300D65"/>
    <w:rsid w:val="00301A75"/>
    <w:rsid w:val="00302F70"/>
    <w:rsid w:val="0030336F"/>
    <w:rsid w:val="0030375E"/>
    <w:rsid w:val="00312A30"/>
    <w:rsid w:val="00320F72"/>
    <w:rsid w:val="0032463E"/>
    <w:rsid w:val="00326224"/>
    <w:rsid w:val="00337EE4"/>
    <w:rsid w:val="00340FFD"/>
    <w:rsid w:val="00345063"/>
    <w:rsid w:val="003506B1"/>
    <w:rsid w:val="0035275D"/>
    <w:rsid w:val="00354F8C"/>
    <w:rsid w:val="00356AC7"/>
    <w:rsid w:val="00356DF1"/>
    <w:rsid w:val="003609FA"/>
    <w:rsid w:val="003710C8"/>
    <w:rsid w:val="0037148D"/>
    <w:rsid w:val="003750BE"/>
    <w:rsid w:val="0038240D"/>
    <w:rsid w:val="00387B9D"/>
    <w:rsid w:val="0039364F"/>
    <w:rsid w:val="00396686"/>
    <w:rsid w:val="0039778E"/>
    <w:rsid w:val="003B2814"/>
    <w:rsid w:val="003B4941"/>
    <w:rsid w:val="003B6058"/>
    <w:rsid w:val="003C04F4"/>
    <w:rsid w:val="003C5714"/>
    <w:rsid w:val="003C6B9F"/>
    <w:rsid w:val="003C6E2A"/>
    <w:rsid w:val="003D0299"/>
    <w:rsid w:val="003E6D80"/>
    <w:rsid w:val="003F05FA"/>
    <w:rsid w:val="003F244A"/>
    <w:rsid w:val="003F30B8"/>
    <w:rsid w:val="003F4C45"/>
    <w:rsid w:val="003F5F7B"/>
    <w:rsid w:val="003F75D9"/>
    <w:rsid w:val="003F7935"/>
    <w:rsid w:val="003F7D64"/>
    <w:rsid w:val="004052BC"/>
    <w:rsid w:val="0041362C"/>
    <w:rsid w:val="00414300"/>
    <w:rsid w:val="004147EA"/>
    <w:rsid w:val="00414D56"/>
    <w:rsid w:val="004170A7"/>
    <w:rsid w:val="00425C67"/>
    <w:rsid w:val="00427E7A"/>
    <w:rsid w:val="00434EC4"/>
    <w:rsid w:val="00436C49"/>
    <w:rsid w:val="00445366"/>
    <w:rsid w:val="004459D5"/>
    <w:rsid w:val="00447F5B"/>
    <w:rsid w:val="0045067D"/>
    <w:rsid w:val="0045449E"/>
    <w:rsid w:val="00461DB0"/>
    <w:rsid w:val="00463926"/>
    <w:rsid w:val="00464C9A"/>
    <w:rsid w:val="0047037F"/>
    <w:rsid w:val="004718F1"/>
    <w:rsid w:val="00472DEE"/>
    <w:rsid w:val="00473D7F"/>
    <w:rsid w:val="004741F5"/>
    <w:rsid w:val="00474F3D"/>
    <w:rsid w:val="00477E3A"/>
    <w:rsid w:val="00483E5F"/>
    <w:rsid w:val="00485FF9"/>
    <w:rsid w:val="004907F0"/>
    <w:rsid w:val="004911EE"/>
    <w:rsid w:val="0049140B"/>
    <w:rsid w:val="004923A5"/>
    <w:rsid w:val="0049428D"/>
    <w:rsid w:val="00496BFB"/>
    <w:rsid w:val="004A15C7"/>
    <w:rsid w:val="004A422D"/>
    <w:rsid w:val="004A63DC"/>
    <w:rsid w:val="004B013B"/>
    <w:rsid w:val="004B112B"/>
    <w:rsid w:val="004B6493"/>
    <w:rsid w:val="004C01E4"/>
    <w:rsid w:val="004C086C"/>
    <w:rsid w:val="004C1F56"/>
    <w:rsid w:val="004C27BC"/>
    <w:rsid w:val="004D15F3"/>
    <w:rsid w:val="004D5311"/>
    <w:rsid w:val="004D5DCC"/>
    <w:rsid w:val="004E7B5C"/>
    <w:rsid w:val="004F10AF"/>
    <w:rsid w:val="004F11A4"/>
    <w:rsid w:val="004F2389"/>
    <w:rsid w:val="004F2979"/>
    <w:rsid w:val="004F304D"/>
    <w:rsid w:val="004F61BE"/>
    <w:rsid w:val="004F66B1"/>
    <w:rsid w:val="00511C07"/>
    <w:rsid w:val="005173A6"/>
    <w:rsid w:val="00520BAA"/>
    <w:rsid w:val="00525208"/>
    <w:rsid w:val="005257A5"/>
    <w:rsid w:val="005264C0"/>
    <w:rsid w:val="00526A8A"/>
    <w:rsid w:val="00531DF2"/>
    <w:rsid w:val="00542FC5"/>
    <w:rsid w:val="00544106"/>
    <w:rsid w:val="005442EE"/>
    <w:rsid w:val="00544C1C"/>
    <w:rsid w:val="00547353"/>
    <w:rsid w:val="005474E7"/>
    <w:rsid w:val="005512A3"/>
    <w:rsid w:val="005578CE"/>
    <w:rsid w:val="00562781"/>
    <w:rsid w:val="0057271C"/>
    <w:rsid w:val="00572845"/>
    <w:rsid w:val="00574C83"/>
    <w:rsid w:val="00580586"/>
    <w:rsid w:val="00592772"/>
    <w:rsid w:val="0059574A"/>
    <w:rsid w:val="00596468"/>
    <w:rsid w:val="005A02CB"/>
    <w:rsid w:val="005A1B9B"/>
    <w:rsid w:val="005A6751"/>
    <w:rsid w:val="005B092E"/>
    <w:rsid w:val="005B1251"/>
    <w:rsid w:val="005B152C"/>
    <w:rsid w:val="005B1EE0"/>
    <w:rsid w:val="005B2B24"/>
    <w:rsid w:val="005B4425"/>
    <w:rsid w:val="005B4B94"/>
    <w:rsid w:val="005C3EE8"/>
    <w:rsid w:val="005D0F32"/>
    <w:rsid w:val="005D34F9"/>
    <w:rsid w:val="005D4190"/>
    <w:rsid w:val="005D4655"/>
    <w:rsid w:val="005D67A3"/>
    <w:rsid w:val="005D7716"/>
    <w:rsid w:val="005E2988"/>
    <w:rsid w:val="005E3085"/>
    <w:rsid w:val="005E37C6"/>
    <w:rsid w:val="005F51E1"/>
    <w:rsid w:val="00605B7E"/>
    <w:rsid w:val="00611C80"/>
    <w:rsid w:val="00616104"/>
    <w:rsid w:val="00620692"/>
    <w:rsid w:val="006242CA"/>
    <w:rsid w:val="00627507"/>
    <w:rsid w:val="00633717"/>
    <w:rsid w:val="006344E1"/>
    <w:rsid w:val="006405D5"/>
    <w:rsid w:val="0065298D"/>
    <w:rsid w:val="006545C4"/>
    <w:rsid w:val="00661971"/>
    <w:rsid w:val="00661CE8"/>
    <w:rsid w:val="006623D9"/>
    <w:rsid w:val="0066550C"/>
    <w:rsid w:val="00665691"/>
    <w:rsid w:val="00667B26"/>
    <w:rsid w:val="006716F2"/>
    <w:rsid w:val="00680898"/>
    <w:rsid w:val="00682BF2"/>
    <w:rsid w:val="00683761"/>
    <w:rsid w:val="006859CE"/>
    <w:rsid w:val="00691270"/>
    <w:rsid w:val="00694A2E"/>
    <w:rsid w:val="00694BA8"/>
    <w:rsid w:val="006A037C"/>
    <w:rsid w:val="006A30A4"/>
    <w:rsid w:val="006A36F4"/>
    <w:rsid w:val="006A406F"/>
    <w:rsid w:val="006A5D3A"/>
    <w:rsid w:val="006C1BCB"/>
    <w:rsid w:val="006C1D0C"/>
    <w:rsid w:val="006C23D4"/>
    <w:rsid w:val="006C2EDA"/>
    <w:rsid w:val="006C64BE"/>
    <w:rsid w:val="006C7BB0"/>
    <w:rsid w:val="006D001E"/>
    <w:rsid w:val="006D31FB"/>
    <w:rsid w:val="006D3237"/>
    <w:rsid w:val="006E055C"/>
    <w:rsid w:val="006E2E37"/>
    <w:rsid w:val="006E3CF1"/>
    <w:rsid w:val="006E5277"/>
    <w:rsid w:val="006E7E80"/>
    <w:rsid w:val="006F48CA"/>
    <w:rsid w:val="006F64DD"/>
    <w:rsid w:val="007054D8"/>
    <w:rsid w:val="00711B9F"/>
    <w:rsid w:val="0071373F"/>
    <w:rsid w:val="00715127"/>
    <w:rsid w:val="00715E8E"/>
    <w:rsid w:val="00723580"/>
    <w:rsid w:val="00723755"/>
    <w:rsid w:val="007273AD"/>
    <w:rsid w:val="0073136C"/>
    <w:rsid w:val="00731F0F"/>
    <w:rsid w:val="00733250"/>
    <w:rsid w:val="00740F59"/>
    <w:rsid w:val="00741404"/>
    <w:rsid w:val="007449E5"/>
    <w:rsid w:val="00747FF0"/>
    <w:rsid w:val="00764D4E"/>
    <w:rsid w:val="00765A1F"/>
    <w:rsid w:val="00775B6D"/>
    <w:rsid w:val="007763FC"/>
    <w:rsid w:val="00776D68"/>
    <w:rsid w:val="00783BAC"/>
    <w:rsid w:val="007850EE"/>
    <w:rsid w:val="00785B95"/>
    <w:rsid w:val="00790E96"/>
    <w:rsid w:val="00793366"/>
    <w:rsid w:val="007952DA"/>
    <w:rsid w:val="007A21BC"/>
    <w:rsid w:val="007A5AB9"/>
    <w:rsid w:val="007A716F"/>
    <w:rsid w:val="007B270A"/>
    <w:rsid w:val="007B4B56"/>
    <w:rsid w:val="007C0695"/>
    <w:rsid w:val="007C419A"/>
    <w:rsid w:val="007C4CC8"/>
    <w:rsid w:val="007C5302"/>
    <w:rsid w:val="007C5426"/>
    <w:rsid w:val="007C5798"/>
    <w:rsid w:val="007D4832"/>
    <w:rsid w:val="007E21B2"/>
    <w:rsid w:val="007E2C4E"/>
    <w:rsid w:val="007E3ED4"/>
    <w:rsid w:val="007E48C2"/>
    <w:rsid w:val="007F1905"/>
    <w:rsid w:val="007F39F1"/>
    <w:rsid w:val="007F4F51"/>
    <w:rsid w:val="007F7334"/>
    <w:rsid w:val="00801300"/>
    <w:rsid w:val="00802C64"/>
    <w:rsid w:val="00805E52"/>
    <w:rsid w:val="008061D0"/>
    <w:rsid w:val="00810B38"/>
    <w:rsid w:val="008204C7"/>
    <w:rsid w:val="00820992"/>
    <w:rsid w:val="00820C3A"/>
    <w:rsid w:val="008231D4"/>
    <w:rsid w:val="00823602"/>
    <w:rsid w:val="008255F5"/>
    <w:rsid w:val="0083014E"/>
    <w:rsid w:val="0083214A"/>
    <w:rsid w:val="00834220"/>
    <w:rsid w:val="0084351A"/>
    <w:rsid w:val="00845723"/>
    <w:rsid w:val="0085111E"/>
    <w:rsid w:val="00851EF9"/>
    <w:rsid w:val="008577FD"/>
    <w:rsid w:val="00860B03"/>
    <w:rsid w:val="0086497A"/>
    <w:rsid w:val="008713A1"/>
    <w:rsid w:val="008754AB"/>
    <w:rsid w:val="00875AB3"/>
    <w:rsid w:val="0088060C"/>
    <w:rsid w:val="00893576"/>
    <w:rsid w:val="00893E73"/>
    <w:rsid w:val="008A17E2"/>
    <w:rsid w:val="008A6918"/>
    <w:rsid w:val="008B02DC"/>
    <w:rsid w:val="008B57CE"/>
    <w:rsid w:val="008C26DE"/>
    <w:rsid w:val="008C2C2F"/>
    <w:rsid w:val="008C5D18"/>
    <w:rsid w:val="008D2225"/>
    <w:rsid w:val="008D4752"/>
    <w:rsid w:val="008D7298"/>
    <w:rsid w:val="008E271C"/>
    <w:rsid w:val="008E418E"/>
    <w:rsid w:val="008E5BC6"/>
    <w:rsid w:val="008E6A25"/>
    <w:rsid w:val="008F5193"/>
    <w:rsid w:val="009013A7"/>
    <w:rsid w:val="009017FB"/>
    <w:rsid w:val="009017FC"/>
    <w:rsid w:val="0090506B"/>
    <w:rsid w:val="009050C9"/>
    <w:rsid w:val="009066FC"/>
    <w:rsid w:val="0090715C"/>
    <w:rsid w:val="00907290"/>
    <w:rsid w:val="009140A3"/>
    <w:rsid w:val="009144A2"/>
    <w:rsid w:val="0091510C"/>
    <w:rsid w:val="00917F58"/>
    <w:rsid w:val="009259AC"/>
    <w:rsid w:val="00926AD5"/>
    <w:rsid w:val="00926F38"/>
    <w:rsid w:val="00934301"/>
    <w:rsid w:val="00936C2D"/>
    <w:rsid w:val="00936CD1"/>
    <w:rsid w:val="00941747"/>
    <w:rsid w:val="00941EFB"/>
    <w:rsid w:val="00947AFB"/>
    <w:rsid w:val="00951D7D"/>
    <w:rsid w:val="009630C7"/>
    <w:rsid w:val="00972B55"/>
    <w:rsid w:val="009743B7"/>
    <w:rsid w:val="0098228B"/>
    <w:rsid w:val="009828DA"/>
    <w:rsid w:val="00985BAB"/>
    <w:rsid w:val="009B1B5F"/>
    <w:rsid w:val="009B6673"/>
    <w:rsid w:val="009C191B"/>
    <w:rsid w:val="009C2BD6"/>
    <w:rsid w:val="009C5881"/>
    <w:rsid w:val="009E1F32"/>
    <w:rsid w:val="009E5000"/>
    <w:rsid w:val="009E735A"/>
    <w:rsid w:val="009E776C"/>
    <w:rsid w:val="00A00144"/>
    <w:rsid w:val="00A138AA"/>
    <w:rsid w:val="00A1726E"/>
    <w:rsid w:val="00A204CF"/>
    <w:rsid w:val="00A23D49"/>
    <w:rsid w:val="00A26587"/>
    <w:rsid w:val="00A27004"/>
    <w:rsid w:val="00A30C29"/>
    <w:rsid w:val="00A34DD6"/>
    <w:rsid w:val="00A36819"/>
    <w:rsid w:val="00A36939"/>
    <w:rsid w:val="00A36989"/>
    <w:rsid w:val="00A4300A"/>
    <w:rsid w:val="00A43308"/>
    <w:rsid w:val="00A43628"/>
    <w:rsid w:val="00A54192"/>
    <w:rsid w:val="00A6035E"/>
    <w:rsid w:val="00A6144C"/>
    <w:rsid w:val="00A66617"/>
    <w:rsid w:val="00A671F8"/>
    <w:rsid w:val="00A673A4"/>
    <w:rsid w:val="00A67531"/>
    <w:rsid w:val="00A724AE"/>
    <w:rsid w:val="00A73329"/>
    <w:rsid w:val="00A74BC1"/>
    <w:rsid w:val="00A82359"/>
    <w:rsid w:val="00A8478A"/>
    <w:rsid w:val="00A865D2"/>
    <w:rsid w:val="00A94C20"/>
    <w:rsid w:val="00A9697A"/>
    <w:rsid w:val="00A974E4"/>
    <w:rsid w:val="00AA227F"/>
    <w:rsid w:val="00AA3BC7"/>
    <w:rsid w:val="00AA754A"/>
    <w:rsid w:val="00AB099E"/>
    <w:rsid w:val="00AB4328"/>
    <w:rsid w:val="00AC0824"/>
    <w:rsid w:val="00AC1B83"/>
    <w:rsid w:val="00AC4EBF"/>
    <w:rsid w:val="00AD412E"/>
    <w:rsid w:val="00AE0A2E"/>
    <w:rsid w:val="00AE354C"/>
    <w:rsid w:val="00AF4B07"/>
    <w:rsid w:val="00AF5CC8"/>
    <w:rsid w:val="00AF6186"/>
    <w:rsid w:val="00AF7054"/>
    <w:rsid w:val="00AF7A3A"/>
    <w:rsid w:val="00B069E1"/>
    <w:rsid w:val="00B160DB"/>
    <w:rsid w:val="00B20836"/>
    <w:rsid w:val="00B235BB"/>
    <w:rsid w:val="00B276FE"/>
    <w:rsid w:val="00B27A44"/>
    <w:rsid w:val="00B30BBF"/>
    <w:rsid w:val="00B33C03"/>
    <w:rsid w:val="00B41948"/>
    <w:rsid w:val="00B44E56"/>
    <w:rsid w:val="00B46543"/>
    <w:rsid w:val="00B47D33"/>
    <w:rsid w:val="00B52BE0"/>
    <w:rsid w:val="00B54133"/>
    <w:rsid w:val="00B64F2F"/>
    <w:rsid w:val="00B701ED"/>
    <w:rsid w:val="00B721D4"/>
    <w:rsid w:val="00B8086C"/>
    <w:rsid w:val="00B861B4"/>
    <w:rsid w:val="00B86DFE"/>
    <w:rsid w:val="00B90990"/>
    <w:rsid w:val="00B922FF"/>
    <w:rsid w:val="00B9281E"/>
    <w:rsid w:val="00B93925"/>
    <w:rsid w:val="00B93ECF"/>
    <w:rsid w:val="00B95187"/>
    <w:rsid w:val="00B9776F"/>
    <w:rsid w:val="00BA2D55"/>
    <w:rsid w:val="00BA5ACB"/>
    <w:rsid w:val="00BA71B1"/>
    <w:rsid w:val="00BB0293"/>
    <w:rsid w:val="00BB0637"/>
    <w:rsid w:val="00BB345F"/>
    <w:rsid w:val="00BB68EA"/>
    <w:rsid w:val="00BC1C27"/>
    <w:rsid w:val="00BC4A8F"/>
    <w:rsid w:val="00BC6BBF"/>
    <w:rsid w:val="00BD0653"/>
    <w:rsid w:val="00BD1572"/>
    <w:rsid w:val="00BE14E3"/>
    <w:rsid w:val="00BE3774"/>
    <w:rsid w:val="00BE41E5"/>
    <w:rsid w:val="00BE5E18"/>
    <w:rsid w:val="00BF0790"/>
    <w:rsid w:val="00BF1219"/>
    <w:rsid w:val="00BF288C"/>
    <w:rsid w:val="00BF307A"/>
    <w:rsid w:val="00BF4109"/>
    <w:rsid w:val="00BF4CC3"/>
    <w:rsid w:val="00C054C7"/>
    <w:rsid w:val="00C057B5"/>
    <w:rsid w:val="00C06E15"/>
    <w:rsid w:val="00C1262B"/>
    <w:rsid w:val="00C22687"/>
    <w:rsid w:val="00C24185"/>
    <w:rsid w:val="00C3233C"/>
    <w:rsid w:val="00C32E4D"/>
    <w:rsid w:val="00C333A0"/>
    <w:rsid w:val="00C34CF0"/>
    <w:rsid w:val="00C36408"/>
    <w:rsid w:val="00C36A81"/>
    <w:rsid w:val="00C41974"/>
    <w:rsid w:val="00C44054"/>
    <w:rsid w:val="00C53F4A"/>
    <w:rsid w:val="00C54125"/>
    <w:rsid w:val="00C5435C"/>
    <w:rsid w:val="00C55B54"/>
    <w:rsid w:val="00C56891"/>
    <w:rsid w:val="00C6098E"/>
    <w:rsid w:val="00C611D8"/>
    <w:rsid w:val="00C6152C"/>
    <w:rsid w:val="00C63990"/>
    <w:rsid w:val="00C64EF6"/>
    <w:rsid w:val="00C65050"/>
    <w:rsid w:val="00C74810"/>
    <w:rsid w:val="00C90D68"/>
    <w:rsid w:val="00C91601"/>
    <w:rsid w:val="00C939FE"/>
    <w:rsid w:val="00C95ABA"/>
    <w:rsid w:val="00CA4BDA"/>
    <w:rsid w:val="00CB1F66"/>
    <w:rsid w:val="00CB2951"/>
    <w:rsid w:val="00CC3FE5"/>
    <w:rsid w:val="00CC71E6"/>
    <w:rsid w:val="00CD282B"/>
    <w:rsid w:val="00CD4C35"/>
    <w:rsid w:val="00CD5BEE"/>
    <w:rsid w:val="00CD7369"/>
    <w:rsid w:val="00CE0B0E"/>
    <w:rsid w:val="00CE3831"/>
    <w:rsid w:val="00CF2077"/>
    <w:rsid w:val="00D00ABB"/>
    <w:rsid w:val="00D02EEC"/>
    <w:rsid w:val="00D03551"/>
    <w:rsid w:val="00D06A63"/>
    <w:rsid w:val="00D07E0E"/>
    <w:rsid w:val="00D11478"/>
    <w:rsid w:val="00D15ED0"/>
    <w:rsid w:val="00D21B3E"/>
    <w:rsid w:val="00D21FED"/>
    <w:rsid w:val="00D2382D"/>
    <w:rsid w:val="00D24251"/>
    <w:rsid w:val="00D250D7"/>
    <w:rsid w:val="00D343E2"/>
    <w:rsid w:val="00D361A2"/>
    <w:rsid w:val="00D37C1F"/>
    <w:rsid w:val="00D42AFF"/>
    <w:rsid w:val="00D44C2E"/>
    <w:rsid w:val="00D45414"/>
    <w:rsid w:val="00D56222"/>
    <w:rsid w:val="00D566BD"/>
    <w:rsid w:val="00D576CF"/>
    <w:rsid w:val="00D57A4D"/>
    <w:rsid w:val="00D60AA7"/>
    <w:rsid w:val="00D6435F"/>
    <w:rsid w:val="00D75E28"/>
    <w:rsid w:val="00D772C2"/>
    <w:rsid w:val="00D8008E"/>
    <w:rsid w:val="00D82C45"/>
    <w:rsid w:val="00D908A8"/>
    <w:rsid w:val="00D95048"/>
    <w:rsid w:val="00D977B6"/>
    <w:rsid w:val="00DA4A31"/>
    <w:rsid w:val="00DA7B04"/>
    <w:rsid w:val="00DB36C2"/>
    <w:rsid w:val="00DB6A0D"/>
    <w:rsid w:val="00DC169B"/>
    <w:rsid w:val="00DC2AB9"/>
    <w:rsid w:val="00DC63F0"/>
    <w:rsid w:val="00DD4AAB"/>
    <w:rsid w:val="00DD5146"/>
    <w:rsid w:val="00DD6EE5"/>
    <w:rsid w:val="00DE386C"/>
    <w:rsid w:val="00DE4D35"/>
    <w:rsid w:val="00DF098B"/>
    <w:rsid w:val="00DF11C4"/>
    <w:rsid w:val="00DF15B5"/>
    <w:rsid w:val="00DF210C"/>
    <w:rsid w:val="00DF4B6A"/>
    <w:rsid w:val="00E01E65"/>
    <w:rsid w:val="00E02C09"/>
    <w:rsid w:val="00E04D59"/>
    <w:rsid w:val="00E05DAB"/>
    <w:rsid w:val="00E0725A"/>
    <w:rsid w:val="00E07DA1"/>
    <w:rsid w:val="00E123CB"/>
    <w:rsid w:val="00E20E13"/>
    <w:rsid w:val="00E21DBC"/>
    <w:rsid w:val="00E24396"/>
    <w:rsid w:val="00E275D7"/>
    <w:rsid w:val="00E27DBE"/>
    <w:rsid w:val="00E304EA"/>
    <w:rsid w:val="00E32AB1"/>
    <w:rsid w:val="00E36C71"/>
    <w:rsid w:val="00E40404"/>
    <w:rsid w:val="00E40595"/>
    <w:rsid w:val="00E4245D"/>
    <w:rsid w:val="00E4529A"/>
    <w:rsid w:val="00E459C6"/>
    <w:rsid w:val="00E47589"/>
    <w:rsid w:val="00E53CC5"/>
    <w:rsid w:val="00E64915"/>
    <w:rsid w:val="00E661D4"/>
    <w:rsid w:val="00E70091"/>
    <w:rsid w:val="00E720F5"/>
    <w:rsid w:val="00E75D5B"/>
    <w:rsid w:val="00E76D47"/>
    <w:rsid w:val="00E77CB3"/>
    <w:rsid w:val="00E849F7"/>
    <w:rsid w:val="00E901C8"/>
    <w:rsid w:val="00E90302"/>
    <w:rsid w:val="00E97396"/>
    <w:rsid w:val="00EA185E"/>
    <w:rsid w:val="00EA592A"/>
    <w:rsid w:val="00EB14E4"/>
    <w:rsid w:val="00EB32A5"/>
    <w:rsid w:val="00EB34ED"/>
    <w:rsid w:val="00EB7BE0"/>
    <w:rsid w:val="00EB7E63"/>
    <w:rsid w:val="00EC315E"/>
    <w:rsid w:val="00ED077C"/>
    <w:rsid w:val="00ED1190"/>
    <w:rsid w:val="00ED12FC"/>
    <w:rsid w:val="00ED6544"/>
    <w:rsid w:val="00EE0277"/>
    <w:rsid w:val="00EE3E00"/>
    <w:rsid w:val="00EE5DD2"/>
    <w:rsid w:val="00EF0A2E"/>
    <w:rsid w:val="00EF63C2"/>
    <w:rsid w:val="00F00A79"/>
    <w:rsid w:val="00F00E86"/>
    <w:rsid w:val="00F07C1E"/>
    <w:rsid w:val="00F105DB"/>
    <w:rsid w:val="00F132BC"/>
    <w:rsid w:val="00F13D80"/>
    <w:rsid w:val="00F13FFC"/>
    <w:rsid w:val="00F16AAA"/>
    <w:rsid w:val="00F17384"/>
    <w:rsid w:val="00F21161"/>
    <w:rsid w:val="00F218EF"/>
    <w:rsid w:val="00F21BC7"/>
    <w:rsid w:val="00F266A2"/>
    <w:rsid w:val="00F32269"/>
    <w:rsid w:val="00F56A6F"/>
    <w:rsid w:val="00F5709C"/>
    <w:rsid w:val="00F606BF"/>
    <w:rsid w:val="00F64EF1"/>
    <w:rsid w:val="00F76943"/>
    <w:rsid w:val="00F76EA0"/>
    <w:rsid w:val="00F8765F"/>
    <w:rsid w:val="00F90767"/>
    <w:rsid w:val="00FA685B"/>
    <w:rsid w:val="00FA69E1"/>
    <w:rsid w:val="00FB0C01"/>
    <w:rsid w:val="00FB2B45"/>
    <w:rsid w:val="00FC18F2"/>
    <w:rsid w:val="00FC39E5"/>
    <w:rsid w:val="00FC3A52"/>
    <w:rsid w:val="00FC3A78"/>
    <w:rsid w:val="00FC5D5B"/>
    <w:rsid w:val="00FD1005"/>
    <w:rsid w:val="00FD6C75"/>
    <w:rsid w:val="00FE5019"/>
    <w:rsid w:val="00FE71B3"/>
    <w:rsid w:val="00FF0D61"/>
    <w:rsid w:val="00FF1FFD"/>
    <w:rsid w:val="00FF245F"/>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B069E1"/>
    <w:pPr>
      <w:jc w:val="both"/>
    </w:pPr>
    <w:rPr>
      <w:rFonts w:eastAsiaTheme="minorEastAsia"/>
      <w:sz w:val="24"/>
    </w:rPr>
  </w:style>
  <w:style w:type="paragraph" w:styleId="Titolo1">
    <w:name w:val="heading 1"/>
    <w:basedOn w:val="Normale"/>
    <w:next w:val="Normale"/>
    <w:link w:val="Titolo1Carattere"/>
    <w:uiPriority w:val="99"/>
    <w:semiHidden/>
    <w:rsid w:val="00B069E1"/>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B069E1"/>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B069E1"/>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B069E1"/>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B069E1"/>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B069E1"/>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B069E1"/>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B069E1"/>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B069E1"/>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B069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69E1"/>
    <w:rPr>
      <w:rFonts w:ascii="Tahoma" w:eastAsiaTheme="minorEastAsia" w:hAnsi="Tahoma" w:cs="Tahoma"/>
      <w:sz w:val="16"/>
      <w:szCs w:val="16"/>
    </w:rPr>
  </w:style>
  <w:style w:type="character" w:styleId="Titolodellibro">
    <w:name w:val="Book Title"/>
    <w:uiPriority w:val="99"/>
    <w:semiHidden/>
    <w:qFormat/>
    <w:rsid w:val="00B069E1"/>
    <w:rPr>
      <w:i/>
      <w:iCs/>
      <w:smallCaps/>
      <w:spacing w:val="5"/>
    </w:rPr>
  </w:style>
  <w:style w:type="paragraph" w:customStyle="1" w:styleId="ECHRHeader">
    <w:name w:val="ECHR_Header"/>
    <w:aliases w:val="Ju_Header"/>
    <w:basedOn w:val="Intestazione"/>
    <w:uiPriority w:val="4"/>
    <w:qFormat/>
    <w:rsid w:val="00B069E1"/>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B069E1"/>
    <w:pPr>
      <w:jc w:val="left"/>
    </w:pPr>
    <w:rPr>
      <w:sz w:val="8"/>
    </w:rPr>
  </w:style>
  <w:style w:type="character" w:styleId="Enfasigrassetto">
    <w:name w:val="Strong"/>
    <w:uiPriority w:val="99"/>
    <w:semiHidden/>
    <w:qFormat/>
    <w:rsid w:val="00B069E1"/>
    <w:rPr>
      <w:b/>
      <w:bCs/>
    </w:rPr>
  </w:style>
  <w:style w:type="paragraph" w:styleId="Nessunaspaziatura">
    <w:name w:val="No Spacing"/>
    <w:basedOn w:val="Normale"/>
    <w:link w:val="NessunaspaziaturaCarattere"/>
    <w:semiHidden/>
    <w:qFormat/>
    <w:rsid w:val="00B069E1"/>
    <w:rPr>
      <w:sz w:val="22"/>
    </w:rPr>
  </w:style>
  <w:style w:type="character" w:customStyle="1" w:styleId="NessunaspaziaturaCarattere">
    <w:name w:val="Nessuna spaziatura Carattere"/>
    <w:basedOn w:val="Carpredefinitoparagrafo"/>
    <w:link w:val="Nessunaspaziatura"/>
    <w:semiHidden/>
    <w:rsid w:val="00B069E1"/>
    <w:rPr>
      <w:rFonts w:eastAsiaTheme="minorEastAsia"/>
    </w:rPr>
  </w:style>
  <w:style w:type="paragraph" w:customStyle="1" w:styleId="ECHRFooterLine">
    <w:name w:val="ECHR_Footer_Line"/>
    <w:aliases w:val="Footer_Line"/>
    <w:basedOn w:val="Normale"/>
    <w:next w:val="ECHRFooter"/>
    <w:uiPriority w:val="57"/>
    <w:semiHidden/>
    <w:rsid w:val="00B069E1"/>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B069E1"/>
  </w:style>
  <w:style w:type="paragraph" w:customStyle="1" w:styleId="DecList">
    <w:name w:val="Dec_List"/>
    <w:basedOn w:val="Normale"/>
    <w:uiPriority w:val="9"/>
    <w:semiHidden/>
    <w:qFormat/>
    <w:rsid w:val="00B069E1"/>
    <w:pPr>
      <w:spacing w:before="240"/>
      <w:ind w:left="284"/>
    </w:pPr>
  </w:style>
  <w:style w:type="paragraph" w:customStyle="1" w:styleId="DummyStyle">
    <w:name w:val="Dummy_Style"/>
    <w:basedOn w:val="Normale"/>
    <w:semiHidden/>
    <w:qFormat/>
    <w:rsid w:val="00B069E1"/>
    <w:rPr>
      <w:color w:val="00B050"/>
    </w:rPr>
  </w:style>
  <w:style w:type="paragraph" w:customStyle="1" w:styleId="ECHRTitleCentre3">
    <w:name w:val="ECHR_Title_Centre_3"/>
    <w:aliases w:val="Ju_H_Article"/>
    <w:basedOn w:val="Normale"/>
    <w:next w:val="ECHRParaQuote"/>
    <w:uiPriority w:val="27"/>
    <w:qFormat/>
    <w:rsid w:val="00B069E1"/>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B069E1"/>
    <w:pPr>
      <w:keepNext/>
      <w:keepLines/>
      <w:spacing w:after="240"/>
      <w:jc w:val="center"/>
      <w:outlineLvl w:val="0"/>
    </w:pPr>
    <w:rPr>
      <w:rFonts w:asciiTheme="majorHAnsi" w:hAnsiTheme="majorHAnsi"/>
      <w:sz w:val="28"/>
    </w:rPr>
  </w:style>
  <w:style w:type="paragraph" w:customStyle="1" w:styleId="JuAppQuestion">
    <w:name w:val="Ju_App_Question"/>
    <w:basedOn w:val="Normale"/>
    <w:uiPriority w:val="5"/>
    <w:semiHidden/>
    <w:qFormat/>
    <w:rsid w:val="00B069E1"/>
    <w:pPr>
      <w:numPr>
        <w:numId w:val="20"/>
      </w:numPr>
      <w:jc w:val="left"/>
    </w:pPr>
    <w:rPr>
      <w:b/>
    </w:rPr>
  </w:style>
  <w:style w:type="paragraph" w:customStyle="1" w:styleId="JuCourt">
    <w:name w:val="Ju_Court"/>
    <w:basedOn w:val="Normale"/>
    <w:next w:val="Normale"/>
    <w:uiPriority w:val="16"/>
    <w:qFormat/>
    <w:rsid w:val="00B069E1"/>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B069E1"/>
    <w:pPr>
      <w:tabs>
        <w:tab w:val="clear" w:pos="3686"/>
        <w:tab w:val="clear" w:pos="7371"/>
        <w:tab w:val="center" w:pos="6146"/>
        <w:tab w:val="right" w:pos="12293"/>
      </w:tabs>
    </w:pPr>
  </w:style>
  <w:style w:type="paragraph" w:customStyle="1" w:styleId="ECHRTitleCentre2">
    <w:name w:val="ECHR_Title_Centre_2"/>
    <w:aliases w:val="Dec_H_Case"/>
    <w:basedOn w:val="Normale"/>
    <w:next w:val="ECHRPara"/>
    <w:uiPriority w:val="8"/>
    <w:qFormat/>
    <w:rsid w:val="00B069E1"/>
    <w:pPr>
      <w:spacing w:after="240"/>
      <w:jc w:val="center"/>
      <w:outlineLvl w:val="0"/>
    </w:pPr>
    <w:rPr>
      <w:rFonts w:asciiTheme="majorHAnsi" w:hAnsiTheme="majorHAnsi"/>
    </w:rPr>
  </w:style>
  <w:style w:type="paragraph" w:customStyle="1" w:styleId="JuTitle">
    <w:name w:val="Ju_Title"/>
    <w:basedOn w:val="Normale"/>
    <w:next w:val="ECHRPara"/>
    <w:link w:val="JuTitleChar"/>
    <w:uiPriority w:val="3"/>
    <w:qFormat/>
    <w:rsid w:val="00B069E1"/>
    <w:pPr>
      <w:spacing w:before="720" w:after="240"/>
      <w:jc w:val="center"/>
      <w:outlineLvl w:val="0"/>
    </w:pPr>
    <w:rPr>
      <w:rFonts w:asciiTheme="majorHAnsi" w:hAnsiTheme="majorHAnsi"/>
      <w:b/>
      <w:caps/>
    </w:rPr>
  </w:style>
  <w:style w:type="paragraph" w:styleId="Titolo">
    <w:name w:val="Title"/>
    <w:basedOn w:val="Normale"/>
    <w:next w:val="Normale"/>
    <w:link w:val="TitoloCarattere"/>
    <w:uiPriority w:val="99"/>
    <w:semiHidden/>
    <w:qFormat/>
    <w:rsid w:val="00B069E1"/>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B069E1"/>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uiPriority w:val="21"/>
    <w:qFormat/>
    <w:rsid w:val="00B069E1"/>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B069E1"/>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B069E1"/>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olo6"/>
    <w:next w:val="ECHRPara"/>
    <w:uiPriority w:val="24"/>
    <w:qFormat/>
    <w:rsid w:val="00B069E1"/>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ECHRPara"/>
    <w:uiPriority w:val="25"/>
    <w:qFormat/>
    <w:rsid w:val="00B069E1"/>
    <w:pPr>
      <w:keepNext/>
      <w:keepLines/>
      <w:spacing w:before="240" w:after="120"/>
      <w:ind w:left="1236"/>
    </w:pPr>
    <w:rPr>
      <w:sz w:val="20"/>
    </w:rPr>
  </w:style>
  <w:style w:type="paragraph" w:customStyle="1" w:styleId="JuQuotSub">
    <w:name w:val="Ju_Quot_Sub"/>
    <w:basedOn w:val="ECHRParaQuote"/>
    <w:uiPriority w:val="15"/>
    <w:qFormat/>
    <w:rsid w:val="00B069E1"/>
    <w:pPr>
      <w:ind w:left="567"/>
    </w:pPr>
  </w:style>
  <w:style w:type="paragraph" w:customStyle="1" w:styleId="JuInitialled">
    <w:name w:val="Ju_Initialled"/>
    <w:basedOn w:val="Normale"/>
    <w:uiPriority w:val="31"/>
    <w:qFormat/>
    <w:rsid w:val="00B069E1"/>
    <w:pPr>
      <w:tabs>
        <w:tab w:val="center" w:pos="6407"/>
      </w:tabs>
      <w:spacing w:before="720"/>
      <w:jc w:val="right"/>
    </w:pPr>
  </w:style>
  <w:style w:type="paragraph" w:customStyle="1" w:styleId="JuListi">
    <w:name w:val="Ju_List_i"/>
    <w:basedOn w:val="Normale"/>
    <w:next w:val="JuLista"/>
    <w:uiPriority w:val="28"/>
    <w:qFormat/>
    <w:rsid w:val="00B069E1"/>
    <w:pPr>
      <w:ind w:left="794"/>
    </w:pPr>
  </w:style>
  <w:style w:type="paragraph" w:styleId="Intestazione">
    <w:name w:val="header"/>
    <w:basedOn w:val="Normale"/>
    <w:link w:val="IntestazioneCarattere"/>
    <w:uiPriority w:val="57"/>
    <w:semiHidden/>
    <w:rsid w:val="00B069E1"/>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B069E1"/>
    <w:rPr>
      <w:sz w:val="24"/>
    </w:rPr>
  </w:style>
  <w:style w:type="character" w:customStyle="1" w:styleId="Titolo1Carattere">
    <w:name w:val="Titolo 1 Carattere"/>
    <w:basedOn w:val="Carpredefinitoparagrafo"/>
    <w:link w:val="Titolo1"/>
    <w:uiPriority w:val="99"/>
    <w:semiHidden/>
    <w:rsid w:val="00B069E1"/>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Titolo1"/>
    <w:next w:val="ECHRPara"/>
    <w:uiPriority w:val="19"/>
    <w:qFormat/>
    <w:rsid w:val="00B069E1"/>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B069E1"/>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B069E1"/>
    <w:rPr>
      <w:rFonts w:asciiTheme="majorHAnsi" w:eastAsiaTheme="majorEastAsia" w:hAnsiTheme="majorHAnsi" w:cstheme="majorBidi"/>
      <w:b/>
      <w:bCs/>
      <w:color w:val="4D4D4D"/>
      <w:sz w:val="26"/>
      <w:szCs w:val="26"/>
    </w:rPr>
  </w:style>
  <w:style w:type="character" w:customStyle="1" w:styleId="JUNAMES">
    <w:name w:val="JU_NAMES"/>
    <w:uiPriority w:val="17"/>
    <w:qFormat/>
    <w:rsid w:val="00B069E1"/>
    <w:rPr>
      <w:caps w:val="0"/>
      <w:smallCaps/>
    </w:rPr>
  </w:style>
  <w:style w:type="paragraph" w:customStyle="1" w:styleId="ECHRDecisionBody">
    <w:name w:val="ECHR_Decision_Body"/>
    <w:aliases w:val="Ju_Judges"/>
    <w:basedOn w:val="Normale"/>
    <w:uiPriority w:val="11"/>
    <w:qFormat/>
    <w:rsid w:val="00B069E1"/>
    <w:pPr>
      <w:tabs>
        <w:tab w:val="left" w:pos="567"/>
        <w:tab w:val="left" w:pos="1134"/>
      </w:tabs>
      <w:jc w:val="left"/>
    </w:pPr>
  </w:style>
  <w:style w:type="character" w:customStyle="1" w:styleId="Titolo3Carattere">
    <w:name w:val="Titolo 3 Carattere"/>
    <w:basedOn w:val="Carpredefinitoparagrafo"/>
    <w:link w:val="Titolo3"/>
    <w:uiPriority w:val="99"/>
    <w:semiHidden/>
    <w:rsid w:val="00B069E1"/>
    <w:rPr>
      <w:rFonts w:asciiTheme="majorHAnsi" w:eastAsiaTheme="majorEastAsia" w:hAnsiTheme="majorHAnsi" w:cstheme="majorBidi"/>
      <w:b/>
      <w:bCs/>
      <w:color w:val="5F5F5F"/>
      <w:sz w:val="24"/>
    </w:rPr>
  </w:style>
  <w:style w:type="paragraph" w:customStyle="1" w:styleId="ECHRPara">
    <w:name w:val="ECHR_Para"/>
    <w:aliases w:val="Ju_Para"/>
    <w:basedOn w:val="Normale"/>
    <w:link w:val="ECHRParaChar"/>
    <w:uiPriority w:val="12"/>
    <w:qFormat/>
    <w:rsid w:val="00B069E1"/>
    <w:pPr>
      <w:ind w:firstLine="284"/>
    </w:pPr>
  </w:style>
  <w:style w:type="character" w:customStyle="1" w:styleId="Titolo4Carattere">
    <w:name w:val="Titolo 4 Carattere"/>
    <w:basedOn w:val="Carpredefinitoparagrafo"/>
    <w:link w:val="Titolo4"/>
    <w:uiPriority w:val="99"/>
    <w:semiHidden/>
    <w:rsid w:val="00B069E1"/>
    <w:rPr>
      <w:rFonts w:asciiTheme="majorHAnsi" w:eastAsiaTheme="majorEastAsia" w:hAnsiTheme="majorHAnsi" w:cstheme="majorBidi"/>
      <w:b/>
      <w:bCs/>
      <w:i/>
      <w:iCs/>
      <w:color w:val="777777"/>
      <w:sz w:val="24"/>
    </w:rPr>
  </w:style>
  <w:style w:type="character" w:customStyle="1" w:styleId="Titolo5Carattere">
    <w:name w:val="Titolo 5 Carattere"/>
    <w:basedOn w:val="Carpredefinitoparagrafo"/>
    <w:link w:val="Titolo5"/>
    <w:uiPriority w:val="99"/>
    <w:semiHidden/>
    <w:rsid w:val="00B069E1"/>
    <w:rPr>
      <w:rFonts w:asciiTheme="majorHAnsi" w:eastAsiaTheme="majorEastAsia" w:hAnsiTheme="majorHAnsi" w:cstheme="majorBidi"/>
      <w:b/>
      <w:bCs/>
      <w:color w:val="808080"/>
    </w:rPr>
  </w:style>
  <w:style w:type="character" w:styleId="Enfasidelicata">
    <w:name w:val="Subtle Emphasis"/>
    <w:uiPriority w:val="99"/>
    <w:semiHidden/>
    <w:qFormat/>
    <w:rsid w:val="00B069E1"/>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uiPriority w:val="18"/>
    <w:qFormat/>
    <w:rsid w:val="00B069E1"/>
    <w:pPr>
      <w:keepNext/>
      <w:keepLines/>
      <w:spacing w:before="720" w:after="240"/>
      <w:outlineLvl w:val="0"/>
    </w:pPr>
    <w:rPr>
      <w:rFonts w:asciiTheme="majorHAnsi" w:hAnsiTheme="majorHAnsi"/>
      <w:sz w:val="28"/>
    </w:rPr>
  </w:style>
  <w:style w:type="character" w:styleId="Enfasicorsivo">
    <w:name w:val="Emphasis"/>
    <w:uiPriority w:val="99"/>
    <w:semiHidden/>
    <w:qFormat/>
    <w:rsid w:val="00B069E1"/>
    <w:rPr>
      <w:b/>
      <w:bCs/>
      <w:i/>
      <w:iCs/>
      <w:spacing w:val="10"/>
      <w:bdr w:val="none" w:sz="0" w:space="0" w:color="auto"/>
      <w:shd w:val="clear" w:color="auto" w:fill="auto"/>
    </w:rPr>
  </w:style>
  <w:style w:type="paragraph" w:styleId="Pidipagina">
    <w:name w:val="footer"/>
    <w:basedOn w:val="Normale"/>
    <w:link w:val="PidipaginaCarattere"/>
    <w:uiPriority w:val="57"/>
    <w:semiHidden/>
    <w:rsid w:val="00B069E1"/>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B069E1"/>
    <w:rPr>
      <w:sz w:val="24"/>
    </w:rPr>
  </w:style>
  <w:style w:type="character" w:styleId="Rimandonotaapidipagina">
    <w:name w:val="footnote reference"/>
    <w:basedOn w:val="Carpredefinitoparagrafo"/>
    <w:uiPriority w:val="99"/>
    <w:semiHidden/>
    <w:rsid w:val="00B069E1"/>
    <w:rPr>
      <w:vertAlign w:val="superscript"/>
    </w:rPr>
  </w:style>
  <w:style w:type="paragraph" w:styleId="Testonotaapidipagina">
    <w:name w:val="footnote text"/>
    <w:basedOn w:val="Normale"/>
    <w:link w:val="TestonotaapidipaginaCarattere"/>
    <w:uiPriority w:val="99"/>
    <w:semiHidden/>
    <w:rsid w:val="00B069E1"/>
    <w:rPr>
      <w:sz w:val="20"/>
      <w:szCs w:val="20"/>
    </w:rPr>
  </w:style>
  <w:style w:type="character" w:customStyle="1" w:styleId="TestonotaapidipaginaCarattere">
    <w:name w:val="Testo nota a piè di pagina Carattere"/>
    <w:basedOn w:val="Carpredefinitoparagrafo"/>
    <w:link w:val="Testonotaapidipagina"/>
    <w:uiPriority w:val="99"/>
    <w:semiHidden/>
    <w:rsid w:val="00B069E1"/>
    <w:rPr>
      <w:rFonts w:eastAsiaTheme="minorEastAsia"/>
      <w:sz w:val="20"/>
      <w:szCs w:val="20"/>
    </w:rPr>
  </w:style>
  <w:style w:type="character" w:customStyle="1" w:styleId="Titolo6Carattere">
    <w:name w:val="Titolo 6 Carattere"/>
    <w:basedOn w:val="Carpredefinitoparagrafo"/>
    <w:link w:val="Titolo6"/>
    <w:uiPriority w:val="99"/>
    <w:semiHidden/>
    <w:rsid w:val="00B069E1"/>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B069E1"/>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B069E1"/>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B069E1"/>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B069E1"/>
    <w:rPr>
      <w:color w:val="0072BC" w:themeColor="hyperlink"/>
      <w:u w:val="single"/>
    </w:rPr>
  </w:style>
  <w:style w:type="character" w:styleId="Enfasiintensa">
    <w:name w:val="Intense Emphasis"/>
    <w:uiPriority w:val="99"/>
    <w:semiHidden/>
    <w:qFormat/>
    <w:rsid w:val="00B069E1"/>
    <w:rPr>
      <w:b/>
      <w:bCs/>
    </w:rPr>
  </w:style>
  <w:style w:type="paragraph" w:styleId="Citazioneintensa">
    <w:name w:val="Intense Quote"/>
    <w:basedOn w:val="Normale"/>
    <w:next w:val="Normale"/>
    <w:link w:val="CitazioneintensaCarattere"/>
    <w:uiPriority w:val="99"/>
    <w:semiHidden/>
    <w:qFormat/>
    <w:rsid w:val="00B069E1"/>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B069E1"/>
    <w:rPr>
      <w:rFonts w:eastAsiaTheme="minorEastAsia"/>
      <w:b/>
      <w:bCs/>
      <w:i/>
      <w:iCs/>
      <w:lang w:bidi="en-US"/>
    </w:rPr>
  </w:style>
  <w:style w:type="character" w:styleId="Riferimentointenso">
    <w:name w:val="Intense Reference"/>
    <w:uiPriority w:val="99"/>
    <w:semiHidden/>
    <w:qFormat/>
    <w:rsid w:val="00B069E1"/>
    <w:rPr>
      <w:smallCaps/>
      <w:spacing w:val="5"/>
      <w:u w:val="single"/>
    </w:rPr>
  </w:style>
  <w:style w:type="paragraph" w:styleId="Paragrafoelenco">
    <w:name w:val="List Paragraph"/>
    <w:basedOn w:val="Normale"/>
    <w:uiPriority w:val="99"/>
    <w:semiHidden/>
    <w:qFormat/>
    <w:rsid w:val="00B069E1"/>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B069E1"/>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B069E1"/>
    <w:rPr>
      <w:rFonts w:eastAsiaTheme="minorEastAsia"/>
      <w:i/>
      <w:iCs/>
      <w:lang w:bidi="en-US"/>
    </w:rPr>
  </w:style>
  <w:style w:type="character" w:styleId="Riferimentodelicato">
    <w:name w:val="Subtle Reference"/>
    <w:uiPriority w:val="99"/>
    <w:semiHidden/>
    <w:qFormat/>
    <w:rsid w:val="00B069E1"/>
    <w:rPr>
      <w:smallCaps/>
    </w:rPr>
  </w:style>
  <w:style w:type="table" w:styleId="Grigliatabella">
    <w:name w:val="Table Grid"/>
    <w:basedOn w:val="Tabellanormale"/>
    <w:uiPriority w:val="59"/>
    <w:semiHidden/>
    <w:rsid w:val="00B069E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B069E1"/>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B069E1"/>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B069E1"/>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B069E1"/>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B069E1"/>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B069E1"/>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B069E1"/>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e"/>
    <w:uiPriority w:val="14"/>
    <w:qFormat/>
    <w:rsid w:val="00B069E1"/>
    <w:pPr>
      <w:spacing w:before="120" w:after="120"/>
      <w:ind w:left="425" w:firstLine="142"/>
    </w:pPr>
    <w:rPr>
      <w:sz w:val="20"/>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B069E1"/>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B069E1"/>
    <w:pPr>
      <w:tabs>
        <w:tab w:val="center" w:pos="851"/>
        <w:tab w:val="center" w:pos="6407"/>
      </w:tabs>
      <w:spacing w:before="720"/>
      <w:jc w:val="left"/>
    </w:pPr>
  </w:style>
  <w:style w:type="paragraph" w:customStyle="1" w:styleId="JuParaLast">
    <w:name w:val="Ju_Para_Last"/>
    <w:basedOn w:val="Normale"/>
    <w:next w:val="ECHRPara"/>
    <w:uiPriority w:val="30"/>
    <w:qFormat/>
    <w:rsid w:val="00B069E1"/>
    <w:pPr>
      <w:keepNext/>
      <w:keepLines/>
      <w:spacing w:before="240"/>
      <w:ind w:firstLine="284"/>
    </w:pPr>
  </w:style>
  <w:style w:type="paragraph" w:customStyle="1" w:styleId="JuCase">
    <w:name w:val="Ju_Case"/>
    <w:basedOn w:val="Normale"/>
    <w:next w:val="ECHRPara"/>
    <w:uiPriority w:val="10"/>
    <w:rsid w:val="00B069E1"/>
    <w:pPr>
      <w:ind w:firstLine="284"/>
    </w:pPr>
    <w:rPr>
      <w:b/>
    </w:rPr>
  </w:style>
  <w:style w:type="paragraph" w:customStyle="1" w:styleId="JuList">
    <w:name w:val="Ju_List"/>
    <w:basedOn w:val="Normale"/>
    <w:uiPriority w:val="28"/>
    <w:qFormat/>
    <w:rsid w:val="00B069E1"/>
    <w:pPr>
      <w:ind w:left="340" w:hanging="340"/>
    </w:pPr>
  </w:style>
  <w:style w:type="paragraph" w:customStyle="1" w:styleId="JuParaSub">
    <w:name w:val="Ju_Para_Sub"/>
    <w:basedOn w:val="ECHRPara"/>
    <w:uiPriority w:val="13"/>
    <w:qFormat/>
    <w:rsid w:val="00B069E1"/>
    <w:pPr>
      <w:ind w:left="284"/>
    </w:pPr>
  </w:style>
  <w:style w:type="character" w:styleId="Numeropagina">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B069E1"/>
    <w:pPr>
      <w:ind w:left="346" w:firstLine="0"/>
    </w:pPr>
  </w:style>
  <w:style w:type="paragraph" w:customStyle="1" w:styleId="OpiH1">
    <w:name w:val="Opi_H_1"/>
    <w:basedOn w:val="ECHRHeading2"/>
    <w:uiPriority w:val="42"/>
    <w:qFormat/>
    <w:rsid w:val="00B069E1"/>
    <w:pPr>
      <w:ind w:left="635" w:hanging="357"/>
      <w:outlineLvl w:val="2"/>
    </w:pPr>
  </w:style>
  <w:style w:type="character" w:styleId="Rimandocommento">
    <w:name w:val="annotation reference"/>
    <w:uiPriority w:val="99"/>
    <w:semiHidden/>
    <w:rsid w:val="00E77CB3"/>
    <w:rPr>
      <w:sz w:val="16"/>
    </w:rPr>
  </w:style>
  <w:style w:type="paragraph" w:styleId="Testocommento">
    <w:name w:val="annotation text"/>
    <w:basedOn w:val="Normale"/>
    <w:link w:val="TestocommentoCarattere"/>
    <w:uiPriority w:val="99"/>
    <w:semiHidden/>
    <w:rsid w:val="00E77CB3"/>
    <w:rPr>
      <w:sz w:val="20"/>
    </w:rPr>
  </w:style>
  <w:style w:type="character" w:customStyle="1" w:styleId="TestocommentoCarattere">
    <w:name w:val="Testo commento Carattere"/>
    <w:basedOn w:val="Carpredefinitoparagrafo"/>
    <w:link w:val="Testocommento"/>
    <w:uiPriority w:val="99"/>
    <w:semiHidden/>
    <w:rsid w:val="00E77CB3"/>
    <w:rPr>
      <w:rFonts w:eastAsiaTheme="minorEastAsia"/>
      <w:sz w:val="20"/>
    </w:rPr>
  </w:style>
  <w:style w:type="character" w:styleId="Rimandonotadichiusura">
    <w:name w:val="endnote reference"/>
    <w:uiPriority w:val="99"/>
    <w:semiHidden/>
    <w:rsid w:val="00E77CB3"/>
    <w:rPr>
      <w:rFonts w:ascii="Times New Roman" w:hAnsi="Times New Roman" w:cs="Times New Roman"/>
      <w:vertAlign w:val="superscript"/>
    </w:rPr>
  </w:style>
  <w:style w:type="paragraph" w:styleId="Testonotadichiusura">
    <w:name w:val="endnote text"/>
    <w:basedOn w:val="Normale"/>
    <w:link w:val="TestonotadichiusuraCarattere"/>
    <w:uiPriority w:val="99"/>
    <w:semiHidden/>
    <w:rsid w:val="00E77CB3"/>
    <w:rPr>
      <w:sz w:val="20"/>
    </w:rPr>
  </w:style>
  <w:style w:type="character" w:customStyle="1" w:styleId="TestonotadichiusuraCarattere">
    <w:name w:val="Testo nota di chiusura Carattere"/>
    <w:basedOn w:val="Carpredefinitoparagrafo"/>
    <w:link w:val="Testonotadichiusura"/>
    <w:uiPriority w:val="99"/>
    <w:semiHidden/>
    <w:rsid w:val="00E77CB3"/>
    <w:rPr>
      <w:rFonts w:eastAsiaTheme="minorEastAsia"/>
      <w:sz w:val="20"/>
    </w:rPr>
  </w:style>
  <w:style w:type="character" w:styleId="Collegamentovisitato">
    <w:name w:val="FollowedHyperlink"/>
    <w:uiPriority w:val="99"/>
    <w:semiHidden/>
    <w:rsid w:val="00E77CB3"/>
    <w:rPr>
      <w:rFonts w:ascii="Times New Roman" w:hAnsi="Times New Roman" w:cs="Times New Roman"/>
      <w:color w:val="800080"/>
      <w:u w:val="single"/>
    </w:rPr>
  </w:style>
  <w:style w:type="paragraph" w:styleId="Puntoelenco">
    <w:name w:val="List Bullet"/>
    <w:basedOn w:val="Normale"/>
    <w:uiPriority w:val="99"/>
    <w:semiHidden/>
    <w:rsid w:val="00E77CB3"/>
    <w:pPr>
      <w:numPr>
        <w:numId w:val="1"/>
      </w:numPr>
    </w:pPr>
  </w:style>
  <w:style w:type="paragraph" w:customStyle="1" w:styleId="OpiHa">
    <w:name w:val="Opi_H_a"/>
    <w:basedOn w:val="ECHRHeading3"/>
    <w:uiPriority w:val="43"/>
    <w:qFormat/>
    <w:rsid w:val="00B069E1"/>
    <w:pPr>
      <w:ind w:left="833" w:hanging="357"/>
      <w:outlineLvl w:val="3"/>
    </w:pPr>
    <w:rPr>
      <w:b/>
      <w:i w:val="0"/>
      <w:sz w:val="20"/>
    </w:rPr>
  </w:style>
  <w:style w:type="paragraph" w:styleId="Soggettocommento">
    <w:name w:val="annotation subject"/>
    <w:basedOn w:val="Testocommento"/>
    <w:next w:val="Testocommento"/>
    <w:link w:val="SoggettocommentoCarattere"/>
    <w:uiPriority w:val="99"/>
    <w:semiHidden/>
    <w:rsid w:val="00E77CB3"/>
    <w:rPr>
      <w:b/>
      <w:bCs/>
    </w:rPr>
  </w:style>
  <w:style w:type="character" w:customStyle="1" w:styleId="SoggettocommentoCarattere">
    <w:name w:val="Soggetto commento Carattere"/>
    <w:basedOn w:val="TestocommentoCarattere"/>
    <w:link w:val="Soggettocommento"/>
    <w:uiPriority w:val="99"/>
    <w:semiHidden/>
    <w:rsid w:val="00E77CB3"/>
    <w:rPr>
      <w:rFonts w:eastAsiaTheme="minorEastAsia"/>
      <w:b/>
      <w:bCs/>
      <w:sz w:val="20"/>
    </w:rPr>
  </w:style>
  <w:style w:type="paragraph" w:styleId="Mappadocumento">
    <w:name w:val="Document Map"/>
    <w:basedOn w:val="Normale"/>
    <w:link w:val="MappadocumentoCarattere"/>
    <w:uiPriority w:val="99"/>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E77CB3"/>
    <w:rPr>
      <w:rFonts w:ascii="Tahoma" w:eastAsiaTheme="minorEastAsia" w:hAnsi="Tahoma" w:cs="Tahoma"/>
      <w:sz w:val="20"/>
      <w:shd w:val="clear" w:color="auto" w:fill="000080"/>
    </w:rPr>
  </w:style>
  <w:style w:type="character" w:customStyle="1" w:styleId="JuITMark">
    <w:name w:val="Ju_ITMark"/>
    <w:basedOn w:val="Carpredefinitoparagrafo"/>
    <w:uiPriority w:val="38"/>
    <w:qFormat/>
    <w:rsid w:val="00B069E1"/>
    <w:rPr>
      <w:vanish w:val="0"/>
      <w:color w:val="auto"/>
      <w:sz w:val="14"/>
      <w:bdr w:val="none" w:sz="0" w:space="0" w:color="auto"/>
      <w:shd w:val="clear" w:color="auto" w:fill="BEE5FF" w:themeFill="background1" w:themeFillTint="33"/>
    </w:rPr>
  </w:style>
  <w:style w:type="paragraph" w:styleId="Sottotitolo">
    <w:name w:val="Subtitle"/>
    <w:basedOn w:val="Normale"/>
    <w:next w:val="Normale"/>
    <w:link w:val="SottotitoloCarattere"/>
    <w:uiPriority w:val="99"/>
    <w:semiHidden/>
    <w:qFormat/>
    <w:rsid w:val="00B069E1"/>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B069E1"/>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qFormat/>
    <w:rsid w:val="00E77CB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uiPriority w:val="99"/>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E77CB3"/>
    <w:rPr>
      <w:rFonts w:ascii="Times New Roman" w:hAnsi="Times New Roman" w:cs="Times New Roman"/>
      <w:szCs w:val="24"/>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semiHidden/>
    <w:rsid w:val="00B069E1"/>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B069E1"/>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B069E1"/>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paragraph" w:customStyle="1" w:styleId="OpiHA0">
    <w:name w:val="Opi_H_A"/>
    <w:basedOn w:val="ECHRHeading1"/>
    <w:next w:val="OpiPara"/>
    <w:uiPriority w:val="41"/>
    <w:qFormat/>
    <w:rsid w:val="00B069E1"/>
    <w:pPr>
      <w:tabs>
        <w:tab w:val="clear" w:pos="357"/>
      </w:tabs>
      <w:outlineLvl w:val="1"/>
    </w:pPr>
    <w:rPr>
      <w:b/>
    </w:rPr>
  </w:style>
  <w:style w:type="paragraph" w:customStyle="1" w:styleId="OpiHi">
    <w:name w:val="Opi_H_i"/>
    <w:basedOn w:val="ECHRHeading4"/>
    <w:uiPriority w:val="44"/>
    <w:qFormat/>
    <w:rsid w:val="00B069E1"/>
    <w:pPr>
      <w:ind w:left="1037" w:hanging="357"/>
      <w:outlineLvl w:val="4"/>
    </w:pPr>
    <w:rPr>
      <w:b w:val="0"/>
      <w:i/>
    </w:rPr>
  </w:style>
  <w:style w:type="paragraph" w:customStyle="1" w:styleId="OpiPara">
    <w:name w:val="Opi_Para"/>
    <w:basedOn w:val="ECHRPara"/>
    <w:uiPriority w:val="46"/>
    <w:qFormat/>
    <w:rsid w:val="00B069E1"/>
  </w:style>
  <w:style w:type="paragraph" w:customStyle="1" w:styleId="OpiParaSub">
    <w:name w:val="Opi_Para_Sub"/>
    <w:basedOn w:val="JuParaSub"/>
    <w:uiPriority w:val="47"/>
    <w:qFormat/>
    <w:rsid w:val="00B069E1"/>
  </w:style>
  <w:style w:type="paragraph" w:customStyle="1" w:styleId="OpiQuot">
    <w:name w:val="Opi_Quot"/>
    <w:basedOn w:val="ECHRParaQuote"/>
    <w:uiPriority w:val="48"/>
    <w:qFormat/>
    <w:rsid w:val="00B069E1"/>
  </w:style>
  <w:style w:type="paragraph" w:customStyle="1" w:styleId="OpiQuotSub">
    <w:name w:val="Opi_Quot_Sub"/>
    <w:basedOn w:val="JuQuotSub"/>
    <w:uiPriority w:val="49"/>
    <w:qFormat/>
    <w:rsid w:val="00B069E1"/>
  </w:style>
  <w:style w:type="paragraph" w:customStyle="1" w:styleId="OpiTranslation">
    <w:name w:val="Opi_Translation"/>
    <w:basedOn w:val="Normale"/>
    <w:next w:val="OpiPara"/>
    <w:uiPriority w:val="40"/>
    <w:qFormat/>
    <w:rsid w:val="00B069E1"/>
    <w:pPr>
      <w:jc w:val="center"/>
      <w:outlineLvl w:val="0"/>
    </w:pPr>
    <w:rPr>
      <w:i/>
    </w:rPr>
  </w:style>
  <w:style w:type="character" w:customStyle="1" w:styleId="ECHRParaChar">
    <w:name w:val="ECHR_Para Char"/>
    <w:aliases w:val="Ju_Para Char"/>
    <w:basedOn w:val="Carpredefinitoparagrafo"/>
    <w:link w:val="ECHRPara"/>
    <w:uiPriority w:val="12"/>
    <w:rsid w:val="00C5435C"/>
    <w:rPr>
      <w:rFonts w:eastAsiaTheme="minorEastAsia"/>
      <w:sz w:val="24"/>
    </w:rPr>
  </w:style>
  <w:style w:type="character" w:customStyle="1" w:styleId="JuTitleChar">
    <w:name w:val="Ju_Title Char"/>
    <w:basedOn w:val="Carpredefinitoparagrafo"/>
    <w:link w:val="JuTitle"/>
    <w:uiPriority w:val="3"/>
    <w:rsid w:val="00F13FFC"/>
    <w:rPr>
      <w:rFonts w:asciiTheme="majorHAnsi" w:eastAsiaTheme="minorEastAsia" w:hAnsiTheme="majorHAnsi"/>
      <w:b/>
      <w:caps/>
      <w:sz w:val="24"/>
    </w:rPr>
  </w:style>
  <w:style w:type="paragraph" w:styleId="Revisione">
    <w:name w:val="Revision"/>
    <w:hidden/>
    <w:uiPriority w:val="99"/>
    <w:semiHidden/>
    <w:rsid w:val="00290A11"/>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929050">
      <w:bodyDiv w:val="1"/>
      <w:marLeft w:val="0"/>
      <w:marRight w:val="0"/>
      <w:marTop w:val="0"/>
      <w:marBottom w:val="0"/>
      <w:divBdr>
        <w:top w:val="none" w:sz="0" w:space="0" w:color="auto"/>
        <w:left w:val="none" w:sz="0" w:space="0" w:color="auto"/>
        <w:bottom w:val="none" w:sz="0" w:space="0" w:color="auto"/>
        <w:right w:val="none" w:sz="0" w:space="0" w:color="auto"/>
      </w:divBdr>
      <w:divsChild>
        <w:div w:id="1118257668">
          <w:marLeft w:val="0"/>
          <w:marRight w:val="0"/>
          <w:marTop w:val="0"/>
          <w:marBottom w:val="0"/>
          <w:divBdr>
            <w:top w:val="none" w:sz="0" w:space="0" w:color="auto"/>
            <w:left w:val="none" w:sz="0" w:space="0" w:color="auto"/>
            <w:bottom w:val="none" w:sz="0" w:space="0" w:color="auto"/>
            <w:right w:val="none" w:sz="0" w:space="0" w:color="auto"/>
          </w:divBdr>
          <w:divsChild>
            <w:div w:id="821041088">
              <w:marLeft w:val="0"/>
              <w:marRight w:val="0"/>
              <w:marTop w:val="0"/>
              <w:marBottom w:val="0"/>
              <w:divBdr>
                <w:top w:val="none" w:sz="0" w:space="0" w:color="auto"/>
                <w:left w:val="none" w:sz="0" w:space="0" w:color="auto"/>
                <w:bottom w:val="none" w:sz="0" w:space="0" w:color="auto"/>
                <w:right w:val="none" w:sz="0" w:space="0" w:color="auto"/>
              </w:divBdr>
              <w:divsChild>
                <w:div w:id="1645770718">
                  <w:marLeft w:val="0"/>
                  <w:marRight w:val="0"/>
                  <w:marTop w:val="0"/>
                  <w:marBottom w:val="0"/>
                  <w:divBdr>
                    <w:top w:val="none" w:sz="0" w:space="0" w:color="auto"/>
                    <w:left w:val="none" w:sz="0" w:space="0" w:color="auto"/>
                    <w:bottom w:val="none" w:sz="0" w:space="0" w:color="auto"/>
                    <w:right w:val="none" w:sz="0" w:space="0" w:color="auto"/>
                  </w:divBdr>
                  <w:divsChild>
                    <w:div w:id="1720089324">
                      <w:marLeft w:val="0"/>
                      <w:marRight w:val="0"/>
                      <w:marTop w:val="0"/>
                      <w:marBottom w:val="0"/>
                      <w:divBdr>
                        <w:top w:val="none" w:sz="0" w:space="0" w:color="auto"/>
                        <w:left w:val="none" w:sz="0" w:space="0" w:color="auto"/>
                        <w:bottom w:val="none" w:sz="0" w:space="0" w:color="auto"/>
                        <w:right w:val="none" w:sz="0" w:space="0" w:color="auto"/>
                      </w:divBdr>
                      <w:divsChild>
                        <w:div w:id="1267301487">
                          <w:marLeft w:val="0"/>
                          <w:marRight w:val="0"/>
                          <w:marTop w:val="0"/>
                          <w:marBottom w:val="0"/>
                          <w:divBdr>
                            <w:top w:val="none" w:sz="0" w:space="0" w:color="auto"/>
                            <w:left w:val="none" w:sz="0" w:space="0" w:color="auto"/>
                            <w:bottom w:val="none" w:sz="0" w:space="0" w:color="auto"/>
                            <w:right w:val="none" w:sz="0" w:space="0" w:color="auto"/>
                          </w:divBdr>
                          <w:divsChild>
                            <w:div w:id="14476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77235">
      <w:bodyDiv w:val="1"/>
      <w:marLeft w:val="0"/>
      <w:marRight w:val="0"/>
      <w:marTop w:val="0"/>
      <w:marBottom w:val="0"/>
      <w:divBdr>
        <w:top w:val="none" w:sz="0" w:space="0" w:color="auto"/>
        <w:left w:val="none" w:sz="0" w:space="0" w:color="auto"/>
        <w:bottom w:val="none" w:sz="0" w:space="0" w:color="auto"/>
        <w:right w:val="none" w:sz="0" w:space="0" w:color="auto"/>
      </w:divBdr>
      <w:divsChild>
        <w:div w:id="1683892482">
          <w:marLeft w:val="0"/>
          <w:marRight w:val="0"/>
          <w:marTop w:val="0"/>
          <w:marBottom w:val="0"/>
          <w:divBdr>
            <w:top w:val="none" w:sz="0" w:space="0" w:color="auto"/>
            <w:left w:val="none" w:sz="0" w:space="0" w:color="auto"/>
            <w:bottom w:val="none" w:sz="0" w:space="0" w:color="auto"/>
            <w:right w:val="none" w:sz="0" w:space="0" w:color="auto"/>
          </w:divBdr>
          <w:divsChild>
            <w:div w:id="893614808">
              <w:marLeft w:val="0"/>
              <w:marRight w:val="0"/>
              <w:marTop w:val="0"/>
              <w:marBottom w:val="0"/>
              <w:divBdr>
                <w:top w:val="none" w:sz="0" w:space="0" w:color="auto"/>
                <w:left w:val="none" w:sz="0" w:space="0" w:color="auto"/>
                <w:bottom w:val="none" w:sz="0" w:space="0" w:color="auto"/>
                <w:right w:val="none" w:sz="0" w:space="0" w:color="auto"/>
              </w:divBdr>
              <w:divsChild>
                <w:div w:id="597369980">
                  <w:marLeft w:val="0"/>
                  <w:marRight w:val="0"/>
                  <w:marTop w:val="0"/>
                  <w:marBottom w:val="0"/>
                  <w:divBdr>
                    <w:top w:val="none" w:sz="0" w:space="0" w:color="auto"/>
                    <w:left w:val="none" w:sz="0" w:space="0" w:color="auto"/>
                    <w:bottom w:val="none" w:sz="0" w:space="0" w:color="auto"/>
                    <w:right w:val="none" w:sz="0" w:space="0" w:color="auto"/>
                  </w:divBdr>
                  <w:divsChild>
                    <w:div w:id="885070634">
                      <w:marLeft w:val="0"/>
                      <w:marRight w:val="0"/>
                      <w:marTop w:val="0"/>
                      <w:marBottom w:val="0"/>
                      <w:divBdr>
                        <w:top w:val="none" w:sz="0" w:space="0" w:color="auto"/>
                        <w:left w:val="none" w:sz="0" w:space="0" w:color="auto"/>
                        <w:bottom w:val="none" w:sz="0" w:space="0" w:color="auto"/>
                        <w:right w:val="none" w:sz="0" w:space="0" w:color="auto"/>
                      </w:divBdr>
                      <w:divsChild>
                        <w:div w:id="36391589">
                          <w:marLeft w:val="0"/>
                          <w:marRight w:val="0"/>
                          <w:marTop w:val="0"/>
                          <w:marBottom w:val="0"/>
                          <w:divBdr>
                            <w:top w:val="none" w:sz="0" w:space="0" w:color="auto"/>
                            <w:left w:val="none" w:sz="0" w:space="0" w:color="auto"/>
                            <w:bottom w:val="none" w:sz="0" w:space="0" w:color="auto"/>
                            <w:right w:val="none" w:sz="0" w:space="0" w:color="auto"/>
                          </w:divBdr>
                          <w:divsChild>
                            <w:div w:id="11805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4315B-2895-4EB7-8853-CF1FBAF02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D6CFFF3-CB38-46E3-B00D-3417BC456247}">
  <ds:schemaRefs>
    <ds:schemaRef ds:uri="http://schemas.microsoft.com/sharepoint/v3/contenttype/forms"/>
  </ds:schemaRefs>
</ds:datastoreItem>
</file>

<file path=customXml/itemProps3.xml><?xml version="1.0" encoding="utf-8"?>
<ds:datastoreItem xmlns:ds="http://schemas.openxmlformats.org/officeDocument/2006/customXml" ds:itemID="{D299E03F-4390-4A16-B5E9-BF0DD9B14C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880145-6508-4125-9440-62A13349C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2616</Words>
  <Characters>14916</Characters>
  <Application>Microsoft Office Word</Application>
  <DocSecurity>0</DocSecurity>
  <Lines>124</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17498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dc:description/>
  <cp:lastModifiedBy/>
  <cp:revision>1</cp:revision>
  <dcterms:created xsi:type="dcterms:W3CDTF">2017-05-04T10:23:00Z</dcterms:created>
  <dcterms:modified xsi:type="dcterms:W3CDTF">2017-05-04T10:23:00Z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36974/11</vt:lpwstr>
  </property>
  <property fmtid="{D5CDD505-2E9C-101B-9397-08002B2CF9AE}" pid="4" name="CASEID">
    <vt:lpwstr>726585</vt:lpwstr>
  </property>
  <property fmtid="{D5CDD505-2E9C-101B-9397-08002B2CF9AE}" pid="5" name="ContentTypeId">
    <vt:lpwstr>0x010100558EB02BDB9E204AB350EDD385B68E10</vt:lpwstr>
  </property>
</Properties>
</file>